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3967" w14:textId="07EECCEF" w:rsidR="00084BE6" w:rsidRDefault="00C67163" w:rsidP="00084BE6">
      <w:pPr>
        <w:jc w:val="center"/>
        <w:rPr>
          <w:rFonts w:ascii="Arial" w:hAnsi="Arial" w:cs="Arial"/>
          <w:b/>
          <w:color w:val="FF0000"/>
          <w:sz w:val="26"/>
          <w:szCs w:val="26"/>
        </w:rPr>
      </w:pPr>
      <w:r w:rsidRPr="004A17BB">
        <w:rPr>
          <w:rFonts w:ascii="Arial" w:hAnsi="Arial" w:cs="Arial"/>
          <w:b/>
          <w:color w:val="FF0000"/>
          <w:sz w:val="26"/>
          <w:szCs w:val="26"/>
        </w:rPr>
        <w:t xml:space="preserve">TERM SHEET FOR OAKLAND CLEAN ENERGY INITIATIVE  </w:t>
      </w:r>
    </w:p>
    <w:p w14:paraId="2BC1D13A" w14:textId="77777777" w:rsidR="00084BE6" w:rsidRDefault="00C67163" w:rsidP="00084BE6">
      <w:pPr>
        <w:jc w:val="center"/>
        <w:rPr>
          <w:rFonts w:ascii="Arial" w:hAnsi="Arial" w:cs="Arial"/>
          <w:b/>
          <w:color w:val="FF0000"/>
          <w:sz w:val="26"/>
          <w:szCs w:val="26"/>
        </w:rPr>
      </w:pPr>
      <w:r w:rsidRPr="004A17BB">
        <w:rPr>
          <w:rFonts w:ascii="Arial" w:hAnsi="Arial" w:cs="Arial"/>
          <w:b/>
          <w:color w:val="FF0000"/>
          <w:sz w:val="26"/>
          <w:szCs w:val="26"/>
        </w:rPr>
        <w:t>EAST BAY COMMUNITY ENERGY</w:t>
      </w:r>
    </w:p>
    <w:p w14:paraId="45846960" w14:textId="77777777" w:rsidR="00084BE6" w:rsidRPr="00DD09F3" w:rsidRDefault="00C67163" w:rsidP="00084BE6">
      <w:pPr>
        <w:jc w:val="both"/>
        <w:rPr>
          <w:rFonts w:ascii="Arial" w:hAnsi="Arial" w:cs="Arial"/>
          <w:color w:val="FF0000"/>
        </w:rPr>
      </w:pPr>
      <w:r w:rsidRPr="00DD09F3">
        <w:rPr>
          <w:rFonts w:ascii="Arial" w:eastAsia="Times New Roman" w:hAnsi="Arial" w:cs="Arial"/>
        </w:rPr>
        <w:t>This Term Sheet is not an agreement, commitment, offer to enter an agreement or any legally binding obligation.  It is intended solely as a basis for further discussion regarding a potential agreement between Buyer and Seller, and is subject to completion of Buyer and Seller’s due diligence, Buyer and Seller’s satisfaction with the results of such due diligence and to the negotiation, execution and delivery of documentation to the satisfaction of the Parties hereto in their sole discretion.</w:t>
      </w:r>
    </w:p>
    <w:tbl>
      <w:tblPr>
        <w:tblStyle w:val="TableGrid"/>
        <w:tblW w:w="9720" w:type="dxa"/>
        <w:tblInd w:w="108" w:type="dxa"/>
        <w:tblLayout w:type="fixed"/>
        <w:tblLook w:val="04A0" w:firstRow="1" w:lastRow="0" w:firstColumn="1" w:lastColumn="0" w:noHBand="0" w:noVBand="1"/>
        <w:tblCaption w:val="Term Sheet for Oakland Clean Energy Initiative - EBCE"/>
      </w:tblPr>
      <w:tblGrid>
        <w:gridCol w:w="900"/>
        <w:gridCol w:w="1800"/>
        <w:gridCol w:w="7020"/>
      </w:tblGrid>
      <w:tr w:rsidR="004D7834" w14:paraId="4CED5FF0" w14:textId="77777777" w:rsidTr="00084BE6">
        <w:tc>
          <w:tcPr>
            <w:tcW w:w="900" w:type="dxa"/>
          </w:tcPr>
          <w:p w14:paraId="03CB5069"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29D87907" w14:textId="77777777" w:rsidR="00084BE6" w:rsidRPr="004A17BB" w:rsidRDefault="00C67163" w:rsidP="00084BE6">
            <w:pPr>
              <w:ind w:right="344"/>
              <w:rPr>
                <w:rFonts w:ascii="Arial" w:hAnsi="Arial" w:cs="Arial"/>
              </w:rPr>
            </w:pPr>
            <w:r w:rsidRPr="004A17BB">
              <w:rPr>
                <w:rFonts w:ascii="Arial" w:hAnsi="Arial" w:cs="Arial"/>
              </w:rPr>
              <w:t>Project</w:t>
            </w:r>
          </w:p>
        </w:tc>
        <w:tc>
          <w:tcPr>
            <w:tcW w:w="7020" w:type="dxa"/>
          </w:tcPr>
          <w:p w14:paraId="70A7D3D0" w14:textId="436756E6" w:rsidR="00084BE6" w:rsidRPr="004A17BB" w:rsidRDefault="00C67163" w:rsidP="00084BE6">
            <w:pPr>
              <w:ind w:right="-18"/>
              <w:jc w:val="both"/>
              <w:rPr>
                <w:rFonts w:ascii="Arial" w:hAnsi="Arial" w:cs="Arial"/>
              </w:rPr>
            </w:pPr>
            <w:r w:rsidRPr="004A17BB">
              <w:rPr>
                <w:rFonts w:ascii="Arial" w:hAnsi="Arial" w:cs="Arial"/>
              </w:rPr>
              <w:t xml:space="preserve">All units, together with all appurtenant facilities and equipment, including any control and communications systems, necessary to provide Products.  </w:t>
            </w:r>
            <w:r>
              <w:rPr>
                <w:rFonts w:ascii="Arial" w:hAnsi="Arial" w:cs="Arial"/>
              </w:rPr>
              <w:t xml:space="preserve">Each </w:t>
            </w:r>
            <w:r w:rsidRPr="004A17BB">
              <w:rPr>
                <w:rFonts w:ascii="Arial" w:hAnsi="Arial" w:cs="Arial"/>
              </w:rPr>
              <w:t>Unit must be a distributed energy resource</w:t>
            </w:r>
            <w:r>
              <w:rPr>
                <w:rFonts w:ascii="Arial" w:hAnsi="Arial" w:cs="Arial"/>
              </w:rPr>
              <w:t xml:space="preserve"> located within </w:t>
            </w:r>
            <w:r w:rsidR="00EE2722">
              <w:rPr>
                <w:rFonts w:ascii="Arial" w:hAnsi="Arial" w:cs="Arial"/>
              </w:rPr>
              <w:t>Alameda County</w:t>
            </w:r>
            <w:r>
              <w:rPr>
                <w:rFonts w:ascii="Arial" w:hAnsi="Arial" w:cs="Arial"/>
              </w:rPr>
              <w:t xml:space="preserve"> and may include the following technology types:</w:t>
            </w:r>
            <w:r w:rsidRPr="004A17BB">
              <w:rPr>
                <w:rFonts w:ascii="Arial" w:hAnsi="Arial" w:cs="Arial"/>
              </w:rPr>
              <w:t xml:space="preserve"> energy storage</w:t>
            </w:r>
            <w:r>
              <w:rPr>
                <w:rFonts w:ascii="Arial" w:hAnsi="Arial" w:cs="Arial"/>
              </w:rPr>
              <w:t xml:space="preserve"> (in front of or behind the Project’s retail meter) and front-of-the-meter renewable generation.</w:t>
            </w:r>
          </w:p>
          <w:p w14:paraId="7175BD55" w14:textId="77777777" w:rsidR="00084BE6" w:rsidRPr="004A17BB" w:rsidRDefault="00084BE6" w:rsidP="00084BE6">
            <w:pPr>
              <w:ind w:right="-18"/>
              <w:jc w:val="both"/>
              <w:rPr>
                <w:rFonts w:ascii="Arial" w:hAnsi="Arial" w:cs="Arial"/>
              </w:rPr>
            </w:pPr>
          </w:p>
        </w:tc>
      </w:tr>
      <w:tr w:rsidR="004D7834" w14:paraId="6E420BBE" w14:textId="77777777" w:rsidTr="00084BE6">
        <w:tc>
          <w:tcPr>
            <w:tcW w:w="900" w:type="dxa"/>
          </w:tcPr>
          <w:p w14:paraId="49864FFB"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40B72933" w14:textId="77777777" w:rsidR="00084BE6" w:rsidRPr="004A17BB" w:rsidRDefault="00C67163" w:rsidP="00084BE6">
            <w:pPr>
              <w:rPr>
                <w:rFonts w:ascii="Arial" w:hAnsi="Arial" w:cs="Arial"/>
              </w:rPr>
            </w:pPr>
            <w:r w:rsidRPr="004A17BB">
              <w:rPr>
                <w:rFonts w:ascii="Arial" w:hAnsi="Arial" w:cs="Arial"/>
              </w:rPr>
              <w:t>Transaction</w:t>
            </w:r>
          </w:p>
        </w:tc>
        <w:tc>
          <w:tcPr>
            <w:tcW w:w="7020" w:type="dxa"/>
          </w:tcPr>
          <w:p w14:paraId="4DB45B46" w14:textId="77777777" w:rsidR="00084BE6" w:rsidRDefault="00C67163" w:rsidP="00084BE6">
            <w:pPr>
              <w:jc w:val="both"/>
              <w:rPr>
                <w:rFonts w:ascii="Arial" w:hAnsi="Arial" w:cs="Arial"/>
              </w:rPr>
            </w:pPr>
            <w:r>
              <w:rPr>
                <w:rFonts w:ascii="Arial" w:hAnsi="Arial" w:cs="Arial"/>
              </w:rPr>
              <w:t>P</w:t>
            </w:r>
            <w:r w:rsidRPr="004A17BB">
              <w:rPr>
                <w:rFonts w:ascii="Arial" w:hAnsi="Arial" w:cs="Arial"/>
              </w:rPr>
              <w:t>rovider (“Seller”) shall sell and deliver, and East Bay Community Energy (“EBCE” or “Buyer”)</w:t>
            </w:r>
            <w:r>
              <w:rPr>
                <w:rFonts w:ascii="Arial" w:hAnsi="Arial" w:cs="Arial"/>
              </w:rPr>
              <w:t xml:space="preserve"> (individually a “Party” and together the “Parties”) </w:t>
            </w:r>
            <w:r w:rsidRPr="004A17BB">
              <w:rPr>
                <w:rFonts w:ascii="Arial" w:hAnsi="Arial" w:cs="Arial"/>
              </w:rPr>
              <w:t xml:space="preserve">shall purchase </w:t>
            </w:r>
            <w:r>
              <w:rPr>
                <w:rFonts w:ascii="Arial" w:hAnsi="Arial" w:cs="Arial"/>
              </w:rPr>
              <w:t xml:space="preserve">all, or some portion of, the Products that the Project produces.  </w:t>
            </w:r>
          </w:p>
          <w:p w14:paraId="1B1E6CCA" w14:textId="77777777" w:rsidR="00084BE6" w:rsidRDefault="00084BE6" w:rsidP="00084BE6">
            <w:pPr>
              <w:jc w:val="both"/>
              <w:rPr>
                <w:rFonts w:ascii="Arial" w:hAnsi="Arial" w:cs="Arial"/>
              </w:rPr>
            </w:pPr>
          </w:p>
          <w:p w14:paraId="79404B7C" w14:textId="2A900B51" w:rsidR="00084BE6" w:rsidRDefault="00C67163" w:rsidP="00084BE6">
            <w:pPr>
              <w:jc w:val="both"/>
              <w:rPr>
                <w:rFonts w:ascii="Arial" w:hAnsi="Arial" w:cs="Arial"/>
              </w:rPr>
            </w:pPr>
            <w:r>
              <w:rPr>
                <w:rFonts w:ascii="Arial" w:hAnsi="Arial" w:cs="Arial"/>
              </w:rPr>
              <w:t>At the sole discretion of the Buyer, the</w:t>
            </w:r>
            <w:r w:rsidRPr="00AC380F">
              <w:rPr>
                <w:rFonts w:ascii="Arial" w:hAnsi="Arial" w:cs="Arial"/>
              </w:rPr>
              <w:t xml:space="preserve"> “Product</w:t>
            </w:r>
            <w:r>
              <w:rPr>
                <w:rFonts w:ascii="Arial" w:hAnsi="Arial" w:cs="Arial"/>
              </w:rPr>
              <w:t>(s)</w:t>
            </w:r>
            <w:r w:rsidRPr="00AC380F">
              <w:rPr>
                <w:rFonts w:ascii="Arial" w:hAnsi="Arial" w:cs="Arial"/>
              </w:rPr>
              <w:t xml:space="preserve">” </w:t>
            </w:r>
            <w:r>
              <w:rPr>
                <w:rFonts w:ascii="Arial" w:hAnsi="Arial" w:cs="Arial"/>
              </w:rPr>
              <w:t>that may</w:t>
            </w:r>
            <w:r w:rsidRPr="00AC380F">
              <w:rPr>
                <w:rFonts w:ascii="Arial" w:hAnsi="Arial" w:cs="Arial"/>
              </w:rPr>
              <w:t xml:space="preserve"> be delivered and sold by Seller and received and purchased by Buyer </w:t>
            </w:r>
            <w:r>
              <w:rPr>
                <w:rFonts w:ascii="Arial" w:hAnsi="Arial" w:cs="Arial"/>
              </w:rPr>
              <w:t xml:space="preserve">may include some or all of the following:  </w:t>
            </w:r>
            <w:r w:rsidRPr="00AC380F">
              <w:rPr>
                <w:rFonts w:ascii="Arial" w:hAnsi="Arial" w:cs="Arial"/>
              </w:rPr>
              <w:t xml:space="preserve">Energy, Renewable Energy Credits, Environmental Attributes, </w:t>
            </w:r>
            <w:r w:rsidR="00D07DC0">
              <w:rPr>
                <w:rFonts w:ascii="Arial" w:hAnsi="Arial" w:cs="Arial"/>
              </w:rPr>
              <w:t xml:space="preserve">Capacity, </w:t>
            </w:r>
            <w:r>
              <w:rPr>
                <w:rFonts w:ascii="Arial" w:hAnsi="Arial" w:cs="Arial"/>
              </w:rPr>
              <w:t>Resource Adequacy</w:t>
            </w:r>
            <w:r w:rsidRPr="00AC380F">
              <w:rPr>
                <w:rFonts w:ascii="Arial" w:hAnsi="Arial" w:cs="Arial"/>
              </w:rPr>
              <w:t xml:space="preserve"> and other ancillary products, services or attributes similar to the foregoing which are or can be produced by or associated with the Project.  Product shall include all attributes currently recognized </w:t>
            </w:r>
            <w:r w:rsidR="00EE2722">
              <w:rPr>
                <w:rFonts w:ascii="Arial" w:hAnsi="Arial" w:cs="Arial"/>
              </w:rPr>
              <w:t xml:space="preserve">that are </w:t>
            </w:r>
            <w:r w:rsidRPr="00AC380F">
              <w:rPr>
                <w:rFonts w:ascii="Arial" w:hAnsi="Arial" w:cs="Arial"/>
              </w:rPr>
              <w:t>associated with the generation from the Product during the</w:t>
            </w:r>
            <w:r>
              <w:rPr>
                <w:rFonts w:ascii="Arial" w:hAnsi="Arial" w:cs="Arial"/>
              </w:rPr>
              <w:t xml:space="preserve"> Delivery</w:t>
            </w:r>
            <w:r w:rsidRPr="00AC380F">
              <w:rPr>
                <w:rFonts w:ascii="Arial" w:hAnsi="Arial" w:cs="Arial"/>
              </w:rPr>
              <w:t xml:space="preserve"> Term.</w:t>
            </w:r>
            <w:r>
              <w:rPr>
                <w:rFonts w:ascii="Arial" w:hAnsi="Arial" w:cs="Arial"/>
              </w:rPr>
              <w:t xml:space="preserve">  </w:t>
            </w:r>
            <w:bookmarkStart w:id="0" w:name="_GoBack"/>
            <w:bookmarkEnd w:id="0"/>
          </w:p>
          <w:p w14:paraId="329CC68A" w14:textId="77777777" w:rsidR="00084BE6" w:rsidRDefault="00084BE6" w:rsidP="00084BE6">
            <w:pPr>
              <w:jc w:val="both"/>
              <w:rPr>
                <w:rFonts w:ascii="Arial" w:hAnsi="Arial" w:cs="Arial"/>
              </w:rPr>
            </w:pPr>
          </w:p>
          <w:p w14:paraId="43796497" w14:textId="77777777" w:rsidR="00084BE6" w:rsidRPr="004A17BB" w:rsidRDefault="00C67163" w:rsidP="00084BE6">
            <w:pPr>
              <w:jc w:val="both"/>
              <w:rPr>
                <w:rFonts w:ascii="Arial" w:hAnsi="Arial" w:cs="Arial"/>
              </w:rPr>
            </w:pPr>
            <w:r w:rsidRPr="004A17BB">
              <w:rPr>
                <w:rFonts w:ascii="Arial" w:hAnsi="Arial" w:cs="Arial"/>
              </w:rPr>
              <w:t xml:space="preserve">Seller may not provide </w:t>
            </w:r>
            <w:r>
              <w:rPr>
                <w:rFonts w:ascii="Arial" w:hAnsi="Arial" w:cs="Arial"/>
              </w:rPr>
              <w:t>P</w:t>
            </w:r>
            <w:r w:rsidRPr="004A17BB">
              <w:rPr>
                <w:rFonts w:ascii="Arial" w:hAnsi="Arial" w:cs="Arial"/>
              </w:rPr>
              <w:t>roducts from a source other than the Project.</w:t>
            </w:r>
            <w:r>
              <w:rPr>
                <w:rFonts w:ascii="Arial" w:hAnsi="Arial" w:cs="Arial"/>
              </w:rPr>
              <w:t xml:space="preserve">  </w:t>
            </w:r>
            <w:r w:rsidRPr="004A17BB">
              <w:rPr>
                <w:rFonts w:ascii="Arial" w:hAnsi="Arial" w:cs="Arial"/>
              </w:rPr>
              <w:t xml:space="preserve">At Buyer’s request, Seller shall provide to Buyer all information and data necessary to confirm that Seller delivered the </w:t>
            </w:r>
            <w:r>
              <w:rPr>
                <w:rFonts w:ascii="Arial" w:hAnsi="Arial" w:cs="Arial"/>
              </w:rPr>
              <w:t>Product</w:t>
            </w:r>
            <w:r w:rsidRPr="004A17BB">
              <w:rPr>
                <w:rFonts w:ascii="Arial" w:hAnsi="Arial" w:cs="Arial"/>
              </w:rPr>
              <w:t xml:space="preserve"> from the Project. </w:t>
            </w:r>
          </w:p>
          <w:p w14:paraId="2314C122" w14:textId="77777777" w:rsidR="00084BE6" w:rsidRPr="004A17BB" w:rsidRDefault="00084BE6" w:rsidP="00084BE6">
            <w:pPr>
              <w:jc w:val="both"/>
              <w:rPr>
                <w:rFonts w:ascii="Arial" w:hAnsi="Arial" w:cs="Arial"/>
              </w:rPr>
            </w:pPr>
          </w:p>
        </w:tc>
      </w:tr>
      <w:tr w:rsidR="004D7834" w14:paraId="435B5055" w14:textId="77777777" w:rsidTr="00084BE6">
        <w:tc>
          <w:tcPr>
            <w:tcW w:w="900" w:type="dxa"/>
          </w:tcPr>
          <w:p w14:paraId="76C9626B"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26D1A061" w14:textId="0B406115" w:rsidR="00084BE6" w:rsidRDefault="00C67163" w:rsidP="00084BE6">
            <w:pPr>
              <w:rPr>
                <w:rFonts w:ascii="Arial" w:hAnsi="Arial" w:cs="Arial"/>
              </w:rPr>
            </w:pPr>
            <w:r w:rsidRPr="006E5A2D">
              <w:rPr>
                <w:rFonts w:ascii="Arial" w:hAnsi="Arial" w:cs="Arial"/>
              </w:rPr>
              <w:t>RPS Energy Products</w:t>
            </w:r>
            <w:r w:rsidR="008467F7">
              <w:rPr>
                <w:rFonts w:ascii="Arial" w:hAnsi="Arial" w:cs="Arial"/>
              </w:rPr>
              <w:t xml:space="preserve"> (if offered)</w:t>
            </w:r>
          </w:p>
          <w:p w14:paraId="5302664E" w14:textId="77777777" w:rsidR="00084BE6" w:rsidRPr="004A17BB" w:rsidRDefault="00084BE6" w:rsidP="00084BE6">
            <w:pPr>
              <w:rPr>
                <w:rFonts w:ascii="Arial" w:hAnsi="Arial" w:cs="Arial"/>
              </w:rPr>
            </w:pPr>
          </w:p>
        </w:tc>
        <w:tc>
          <w:tcPr>
            <w:tcW w:w="7020" w:type="dxa"/>
          </w:tcPr>
          <w:p w14:paraId="1E1B999A" w14:textId="77777777" w:rsidR="00084BE6" w:rsidRDefault="00C67163" w:rsidP="00084BE6">
            <w:pPr>
              <w:jc w:val="both"/>
              <w:rPr>
                <w:rFonts w:ascii="Arial" w:hAnsi="Arial" w:cs="Arial"/>
              </w:rPr>
            </w:pPr>
            <w:r>
              <w:rPr>
                <w:rFonts w:ascii="Arial" w:hAnsi="Arial" w:cs="Arial"/>
              </w:rPr>
              <w:t>Buyer’s purchase of Energy will include Renewable Energy Credits and all other environmental and green attributes from th</w:t>
            </w:r>
            <w:r w:rsidRPr="00E32B2F">
              <w:rPr>
                <w:rFonts w:ascii="Arial" w:hAnsi="Arial" w:cs="Arial"/>
              </w:rPr>
              <w:t>e Project</w:t>
            </w:r>
            <w:r>
              <w:rPr>
                <w:rFonts w:ascii="Arial" w:hAnsi="Arial" w:cs="Arial"/>
              </w:rPr>
              <w:t xml:space="preserve"> (“RPS Energy”)</w:t>
            </w:r>
            <w:r w:rsidRPr="00E32B2F">
              <w:rPr>
                <w:rFonts w:ascii="Arial" w:hAnsi="Arial" w:cs="Arial"/>
              </w:rPr>
              <w:t xml:space="preserve">.  </w:t>
            </w:r>
            <w:r>
              <w:rPr>
                <w:rFonts w:ascii="Arial" w:hAnsi="Arial" w:cs="Arial"/>
              </w:rPr>
              <w:t>RPS Energy shall be</w:t>
            </w:r>
            <w:r w:rsidRPr="00890469">
              <w:rPr>
                <w:rFonts w:ascii="Arial" w:hAnsi="Arial" w:cs="Arial"/>
              </w:rPr>
              <w:t xml:space="preserve"> </w:t>
            </w:r>
            <w:r>
              <w:rPr>
                <w:rFonts w:ascii="Arial" w:hAnsi="Arial" w:cs="Arial"/>
              </w:rPr>
              <w:t xml:space="preserve">bundled electricity from a renewable generator that qualifies as a </w:t>
            </w:r>
            <w:r w:rsidRPr="00890469">
              <w:rPr>
                <w:rFonts w:ascii="Arial" w:hAnsi="Arial" w:cs="Arial"/>
              </w:rPr>
              <w:t>Portfolio Content Category 1</w:t>
            </w:r>
            <w:r>
              <w:rPr>
                <w:rFonts w:ascii="Arial" w:hAnsi="Arial" w:cs="Arial"/>
              </w:rPr>
              <w:t xml:space="preserve"> resource, </w:t>
            </w:r>
            <w:r w:rsidRPr="00890469">
              <w:rPr>
                <w:rFonts w:ascii="Arial" w:hAnsi="Arial" w:cs="Arial"/>
              </w:rPr>
              <w:t xml:space="preserve">as defined by the </w:t>
            </w:r>
            <w:r w:rsidRPr="004F1B4E">
              <w:rPr>
                <w:rFonts w:ascii="Arial" w:hAnsi="Arial" w:cs="Arial"/>
              </w:rPr>
              <w:t>California Energy Commission (“CEC”)</w:t>
            </w:r>
            <w:r w:rsidRPr="00890469">
              <w:rPr>
                <w:rFonts w:ascii="Arial" w:hAnsi="Arial" w:cs="Arial"/>
              </w:rPr>
              <w:t xml:space="preserve"> Eighth Edition Renewables Portfolio Standard Eligibility Guidebook</w:t>
            </w:r>
            <w:r>
              <w:rPr>
                <w:rFonts w:ascii="Arial" w:hAnsi="Arial" w:cs="Arial"/>
              </w:rPr>
              <w:t xml:space="preserve">. </w:t>
            </w:r>
            <w:r w:rsidRPr="0082312B">
              <w:rPr>
                <w:rFonts w:ascii="Arial" w:hAnsi="Arial" w:cs="Arial"/>
              </w:rPr>
              <w:t xml:space="preserve">Seller will obtain and maintain throughout the </w:t>
            </w:r>
            <w:r>
              <w:rPr>
                <w:rFonts w:ascii="Arial" w:hAnsi="Arial" w:cs="Arial"/>
              </w:rPr>
              <w:t xml:space="preserve">Delivery </w:t>
            </w:r>
            <w:r w:rsidRPr="0082312B">
              <w:rPr>
                <w:rFonts w:ascii="Arial" w:hAnsi="Arial" w:cs="Arial"/>
              </w:rPr>
              <w:t xml:space="preserve">Term a California Renewable Portfolio Standard (“RPS”) </w:t>
            </w:r>
            <w:r>
              <w:rPr>
                <w:rFonts w:ascii="Arial" w:hAnsi="Arial" w:cs="Arial"/>
              </w:rPr>
              <w:t xml:space="preserve">PCC 1 </w:t>
            </w:r>
            <w:r w:rsidRPr="0082312B">
              <w:rPr>
                <w:rFonts w:ascii="Arial" w:hAnsi="Arial" w:cs="Arial"/>
              </w:rPr>
              <w:t xml:space="preserve">eligibility designation </w:t>
            </w:r>
            <w:r>
              <w:rPr>
                <w:rFonts w:ascii="Arial" w:hAnsi="Arial" w:cs="Arial"/>
              </w:rPr>
              <w:t xml:space="preserve">for the Project </w:t>
            </w:r>
            <w:r w:rsidRPr="0082312B">
              <w:rPr>
                <w:rFonts w:ascii="Arial" w:hAnsi="Arial" w:cs="Arial"/>
              </w:rPr>
              <w:t xml:space="preserve">from the </w:t>
            </w:r>
            <w:r>
              <w:rPr>
                <w:rFonts w:ascii="Arial" w:hAnsi="Arial" w:cs="Arial"/>
              </w:rPr>
              <w:t>CEC.</w:t>
            </w:r>
          </w:p>
          <w:p w14:paraId="23E06590" w14:textId="77777777" w:rsidR="00084BE6" w:rsidRDefault="00084BE6" w:rsidP="00084BE6">
            <w:pPr>
              <w:jc w:val="both"/>
              <w:rPr>
                <w:rFonts w:ascii="Arial" w:hAnsi="Arial" w:cs="Arial"/>
              </w:rPr>
            </w:pPr>
          </w:p>
          <w:p w14:paraId="72A51D20" w14:textId="77777777" w:rsidR="00084BE6" w:rsidRPr="00E32B2F" w:rsidRDefault="00C67163" w:rsidP="00084BE6">
            <w:pPr>
              <w:jc w:val="both"/>
              <w:rPr>
                <w:rFonts w:ascii="Arial" w:hAnsi="Arial" w:cs="Arial"/>
              </w:rPr>
            </w:pPr>
            <w:r>
              <w:rPr>
                <w:rFonts w:ascii="Arial" w:hAnsi="Arial" w:cs="Arial"/>
              </w:rPr>
              <w:t xml:space="preserve">Seller shall sell and Buyer shall purchase RPS Energy on a [firm or as-delivered] </w:t>
            </w:r>
            <w:r w:rsidRPr="004A17BB">
              <w:rPr>
                <w:rFonts w:ascii="Arial" w:hAnsi="Arial" w:cs="Arial"/>
                <w:b/>
                <w:i/>
              </w:rPr>
              <w:t>[Seller to designate]</w:t>
            </w:r>
            <w:r>
              <w:rPr>
                <w:rFonts w:ascii="Arial" w:hAnsi="Arial" w:cs="Arial"/>
              </w:rPr>
              <w:t xml:space="preserve"> basis.  </w:t>
            </w:r>
          </w:p>
        </w:tc>
      </w:tr>
      <w:tr w:rsidR="004D7834" w14:paraId="6657CA96" w14:textId="77777777" w:rsidTr="00084BE6">
        <w:tc>
          <w:tcPr>
            <w:tcW w:w="900" w:type="dxa"/>
          </w:tcPr>
          <w:p w14:paraId="2125A286"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3BD8B9C2" w14:textId="38C682BC" w:rsidR="00084BE6" w:rsidRDefault="00C67163" w:rsidP="00084BE6">
            <w:pPr>
              <w:rPr>
                <w:rFonts w:ascii="Arial" w:hAnsi="Arial" w:cs="Arial"/>
              </w:rPr>
            </w:pPr>
            <w:r>
              <w:rPr>
                <w:rFonts w:ascii="Arial" w:hAnsi="Arial" w:cs="Arial"/>
              </w:rPr>
              <w:t>Capacity</w:t>
            </w:r>
            <w:r w:rsidRPr="004A17BB">
              <w:rPr>
                <w:rFonts w:ascii="Arial" w:hAnsi="Arial" w:cs="Arial"/>
              </w:rPr>
              <w:t xml:space="preserve"> </w:t>
            </w:r>
            <w:r>
              <w:rPr>
                <w:rFonts w:ascii="Arial" w:hAnsi="Arial" w:cs="Arial"/>
              </w:rPr>
              <w:t>Products</w:t>
            </w:r>
            <w:r w:rsidR="008467F7">
              <w:rPr>
                <w:rFonts w:ascii="Arial" w:hAnsi="Arial" w:cs="Arial"/>
              </w:rPr>
              <w:t xml:space="preserve"> (if offered)</w:t>
            </w:r>
          </w:p>
          <w:p w14:paraId="045B2178" w14:textId="77777777" w:rsidR="00084BE6" w:rsidRPr="004A17BB" w:rsidRDefault="00084BE6" w:rsidP="00084BE6">
            <w:pPr>
              <w:rPr>
                <w:rFonts w:ascii="Arial" w:hAnsi="Arial" w:cs="Arial"/>
              </w:rPr>
            </w:pPr>
          </w:p>
        </w:tc>
        <w:tc>
          <w:tcPr>
            <w:tcW w:w="7020" w:type="dxa"/>
          </w:tcPr>
          <w:p w14:paraId="371FB1D7" w14:textId="746E1DEE" w:rsidR="00084BE6" w:rsidRDefault="00C67163" w:rsidP="00084BE6">
            <w:pPr>
              <w:jc w:val="both"/>
              <w:rPr>
                <w:rFonts w:ascii="Arial" w:hAnsi="Arial" w:cs="Arial"/>
              </w:rPr>
            </w:pPr>
            <w:r>
              <w:rPr>
                <w:rFonts w:ascii="Arial" w:hAnsi="Arial" w:cs="Arial"/>
              </w:rPr>
              <w:t>Buyer</w:t>
            </w:r>
            <w:r w:rsidR="009035D6">
              <w:rPr>
                <w:rFonts w:ascii="Arial" w:hAnsi="Arial" w:cs="Arial"/>
              </w:rPr>
              <w:t xml:space="preserve">’s </w:t>
            </w:r>
            <w:r>
              <w:rPr>
                <w:rFonts w:ascii="Arial" w:hAnsi="Arial" w:cs="Arial"/>
              </w:rPr>
              <w:t xml:space="preserve">purchase </w:t>
            </w:r>
            <w:r w:rsidR="009035D6">
              <w:rPr>
                <w:rFonts w:ascii="Arial" w:hAnsi="Arial" w:cs="Arial"/>
              </w:rPr>
              <w:t>of</w:t>
            </w:r>
            <w:r>
              <w:rPr>
                <w:rFonts w:ascii="Arial" w:hAnsi="Arial" w:cs="Arial"/>
              </w:rPr>
              <w:t xml:space="preserve"> capacity P</w:t>
            </w:r>
            <w:r w:rsidRPr="004A17BB">
              <w:rPr>
                <w:rFonts w:ascii="Arial" w:hAnsi="Arial" w:cs="Arial"/>
              </w:rPr>
              <w:t>roducts</w:t>
            </w:r>
            <w:r>
              <w:rPr>
                <w:rFonts w:ascii="Arial" w:hAnsi="Arial" w:cs="Arial"/>
              </w:rPr>
              <w:t xml:space="preserve"> from the Project</w:t>
            </w:r>
            <w:r w:rsidR="009035D6">
              <w:rPr>
                <w:rFonts w:ascii="Arial" w:hAnsi="Arial" w:cs="Arial"/>
              </w:rPr>
              <w:t xml:space="preserve"> will include</w:t>
            </w:r>
            <w:r>
              <w:rPr>
                <w:rFonts w:ascii="Arial" w:hAnsi="Arial" w:cs="Arial"/>
              </w:rPr>
              <w:t xml:space="preserve"> all System, Local</w:t>
            </w:r>
            <w:r w:rsidR="009035D6">
              <w:rPr>
                <w:rFonts w:ascii="Arial" w:hAnsi="Arial" w:cs="Arial"/>
              </w:rPr>
              <w:t>,</w:t>
            </w:r>
            <w:r>
              <w:rPr>
                <w:rFonts w:ascii="Arial" w:hAnsi="Arial" w:cs="Arial"/>
              </w:rPr>
              <w:t xml:space="preserve"> and/or Flexible Resource Adequacy Products and any other capacity attributes that are created by the Project.  Resource Adequacy Products shall meet all of the applicable requirements set forth in </w:t>
            </w:r>
            <w:r w:rsidRPr="004A17BB">
              <w:rPr>
                <w:rFonts w:ascii="Arial" w:hAnsi="Arial" w:cs="Arial"/>
              </w:rPr>
              <w:t xml:space="preserve">California Public Utilities Code 380 </w:t>
            </w:r>
            <w:r>
              <w:rPr>
                <w:rFonts w:ascii="Arial" w:hAnsi="Arial" w:cs="Arial"/>
              </w:rPr>
              <w:t xml:space="preserve">and </w:t>
            </w:r>
            <w:r w:rsidRPr="004A17BB">
              <w:rPr>
                <w:rFonts w:ascii="Arial" w:hAnsi="Arial" w:cs="Arial"/>
              </w:rPr>
              <w:t xml:space="preserve">CPUC </w:t>
            </w:r>
            <w:r w:rsidRPr="00274B87">
              <w:rPr>
                <w:rFonts w:ascii="Arial" w:hAnsi="Arial" w:cs="Arial"/>
              </w:rPr>
              <w:t>Decisions 04-01-050, 04-10-035, 05-10-042, 06-06-064, 06-07-031, and s</w:t>
            </w:r>
            <w:r>
              <w:rPr>
                <w:rFonts w:ascii="Arial" w:hAnsi="Arial" w:cs="Arial"/>
              </w:rPr>
              <w:t>ubsequent decisions related to R</w:t>
            </w:r>
            <w:r w:rsidRPr="00274B87">
              <w:rPr>
                <w:rFonts w:ascii="Arial" w:hAnsi="Arial" w:cs="Arial"/>
              </w:rPr>
              <w:t xml:space="preserve">esource </w:t>
            </w:r>
            <w:r>
              <w:rPr>
                <w:rFonts w:ascii="Arial" w:hAnsi="Arial" w:cs="Arial"/>
              </w:rPr>
              <w:t>A</w:t>
            </w:r>
            <w:r w:rsidRPr="00274B87">
              <w:rPr>
                <w:rFonts w:ascii="Arial" w:hAnsi="Arial" w:cs="Arial"/>
              </w:rPr>
              <w:t>dequacy, as may be amended from time to time by the CPUC, inc</w:t>
            </w:r>
            <w:r>
              <w:rPr>
                <w:rFonts w:ascii="Arial" w:hAnsi="Arial" w:cs="Arial"/>
              </w:rPr>
              <w:t>luding CPUC Decisions 13-06-024</w:t>
            </w:r>
            <w:r w:rsidRPr="00274B87">
              <w:rPr>
                <w:rFonts w:ascii="Arial" w:hAnsi="Arial" w:cs="Arial"/>
              </w:rPr>
              <w:t>, 14-06-050, 15-06-063, 16-06-045, and 17-06-027.</w:t>
            </w:r>
          </w:p>
          <w:p w14:paraId="55F65640" w14:textId="77777777" w:rsidR="00084BE6" w:rsidRPr="004A17BB" w:rsidRDefault="00084BE6" w:rsidP="00084BE6">
            <w:pPr>
              <w:jc w:val="both"/>
              <w:rPr>
                <w:rFonts w:ascii="Arial" w:hAnsi="Arial" w:cs="Arial"/>
              </w:rPr>
            </w:pPr>
          </w:p>
        </w:tc>
      </w:tr>
      <w:tr w:rsidR="004D7834" w14:paraId="3BDE1ACD" w14:textId="77777777" w:rsidTr="00084BE6">
        <w:tc>
          <w:tcPr>
            <w:tcW w:w="900" w:type="dxa"/>
          </w:tcPr>
          <w:p w14:paraId="5103C790"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190BCECF" w14:textId="178D6EC9" w:rsidR="00084BE6" w:rsidRPr="004A17BB" w:rsidRDefault="00C67163" w:rsidP="00084BE6">
            <w:pPr>
              <w:rPr>
                <w:rFonts w:ascii="Arial" w:hAnsi="Arial" w:cs="Arial"/>
              </w:rPr>
            </w:pPr>
            <w:r w:rsidRPr="004A17BB">
              <w:rPr>
                <w:rFonts w:ascii="Arial" w:hAnsi="Arial" w:cs="Arial"/>
              </w:rPr>
              <w:t xml:space="preserve">Contract </w:t>
            </w:r>
            <w:r w:rsidR="00EE2722">
              <w:rPr>
                <w:rFonts w:ascii="Arial" w:hAnsi="Arial" w:cs="Arial"/>
              </w:rPr>
              <w:t xml:space="preserve">Quantity / </w:t>
            </w:r>
            <w:r w:rsidRPr="004A17BB">
              <w:rPr>
                <w:rFonts w:ascii="Arial" w:hAnsi="Arial" w:cs="Arial"/>
              </w:rPr>
              <w:t>Capacity</w:t>
            </w:r>
          </w:p>
        </w:tc>
        <w:tc>
          <w:tcPr>
            <w:tcW w:w="7020" w:type="dxa"/>
          </w:tcPr>
          <w:p w14:paraId="75099976" w14:textId="72163AA9" w:rsidR="00084BE6" w:rsidRPr="00804F39" w:rsidRDefault="00C67163" w:rsidP="00084BE6">
            <w:pPr>
              <w:jc w:val="both"/>
              <w:rPr>
                <w:rFonts w:ascii="Arial" w:hAnsi="Arial" w:cs="Arial"/>
              </w:rPr>
            </w:pPr>
            <w:r>
              <w:rPr>
                <w:rFonts w:ascii="Arial" w:hAnsi="Arial" w:cs="Arial"/>
              </w:rPr>
              <w:t xml:space="preserve">RPS Energy Annual Contract Quantity: </w:t>
            </w:r>
            <w:r w:rsidRPr="004A17BB">
              <w:rPr>
                <w:rFonts w:ascii="Arial" w:hAnsi="Arial" w:cs="Arial"/>
              </w:rPr>
              <w:t>[•] MW</w:t>
            </w:r>
            <w:r>
              <w:rPr>
                <w:rFonts w:ascii="Arial" w:hAnsi="Arial" w:cs="Arial"/>
              </w:rPr>
              <w:t>h</w:t>
            </w:r>
            <w:r w:rsidRPr="004A17BB">
              <w:rPr>
                <w:rFonts w:ascii="Arial" w:hAnsi="Arial" w:cs="Arial"/>
              </w:rPr>
              <w:t xml:space="preserve"> </w:t>
            </w:r>
            <w:r w:rsidRPr="004A17BB">
              <w:rPr>
                <w:rFonts w:ascii="Arial" w:hAnsi="Arial" w:cs="Arial"/>
                <w:b/>
                <w:i/>
              </w:rPr>
              <w:t>[Seller to designate</w:t>
            </w:r>
            <w:r w:rsidR="00515819">
              <w:rPr>
                <w:rFonts w:ascii="Arial" w:hAnsi="Arial" w:cs="Arial"/>
                <w:b/>
                <w:i/>
              </w:rPr>
              <w:t xml:space="preserve"> expected quantity, as well as </w:t>
            </w:r>
            <w:r>
              <w:rPr>
                <w:rFonts w:ascii="Arial" w:hAnsi="Arial" w:cs="Arial"/>
                <w:b/>
                <w:i/>
              </w:rPr>
              <w:t>min/max</w:t>
            </w:r>
            <w:r w:rsidRPr="004A17BB">
              <w:rPr>
                <w:rFonts w:ascii="Arial" w:hAnsi="Arial" w:cs="Arial"/>
                <w:b/>
                <w:i/>
              </w:rPr>
              <w:t>]</w:t>
            </w:r>
            <w:r>
              <w:rPr>
                <w:rFonts w:ascii="Arial" w:hAnsi="Arial" w:cs="Arial"/>
                <w:b/>
                <w:i/>
              </w:rPr>
              <w:t xml:space="preserve">  </w:t>
            </w:r>
          </w:p>
          <w:p w14:paraId="0C5141E6" w14:textId="38E7D669" w:rsidR="00084BE6" w:rsidRDefault="00084BE6" w:rsidP="00084BE6">
            <w:pPr>
              <w:jc w:val="both"/>
              <w:rPr>
                <w:rFonts w:ascii="Arial" w:hAnsi="Arial" w:cs="Arial"/>
              </w:rPr>
            </w:pPr>
          </w:p>
          <w:p w14:paraId="31194A8B" w14:textId="39F143DF" w:rsidR="00515819" w:rsidRDefault="00515819" w:rsidP="00084BE6">
            <w:pPr>
              <w:jc w:val="both"/>
              <w:rPr>
                <w:rFonts w:ascii="Arial" w:hAnsi="Arial" w:cs="Arial"/>
              </w:rPr>
            </w:pPr>
            <w:r w:rsidRPr="004A17BB">
              <w:rPr>
                <w:rFonts w:ascii="Arial" w:hAnsi="Arial" w:cs="Arial"/>
                <w:b/>
                <w:i/>
              </w:rPr>
              <w:t>[Seller to designate</w:t>
            </w:r>
            <w:r>
              <w:rPr>
                <w:rFonts w:ascii="Arial" w:hAnsi="Arial" w:cs="Arial"/>
                <w:b/>
                <w:i/>
              </w:rPr>
              <w:t xml:space="preserve"> expected capacity and min/max for the following:</w:t>
            </w:r>
            <w:r w:rsidRPr="004A17BB">
              <w:rPr>
                <w:rFonts w:ascii="Arial" w:hAnsi="Arial" w:cs="Arial"/>
                <w:b/>
                <w:i/>
              </w:rPr>
              <w:t>]</w:t>
            </w:r>
          </w:p>
          <w:p w14:paraId="2459DC1D" w14:textId="3EE10436" w:rsidR="00084BE6" w:rsidRPr="004A17BB" w:rsidRDefault="00C67163" w:rsidP="00084BE6">
            <w:pPr>
              <w:jc w:val="both"/>
              <w:rPr>
                <w:rFonts w:ascii="Arial" w:hAnsi="Arial" w:cs="Arial"/>
                <w:b/>
                <w:i/>
              </w:rPr>
            </w:pPr>
            <w:r w:rsidRPr="004A17BB">
              <w:rPr>
                <w:rFonts w:ascii="Arial" w:hAnsi="Arial" w:cs="Arial"/>
              </w:rPr>
              <w:t xml:space="preserve">System Resource Adequacy: [•] MW </w:t>
            </w:r>
          </w:p>
          <w:p w14:paraId="265E09EC" w14:textId="23B36907" w:rsidR="00084BE6" w:rsidRPr="004A17BB" w:rsidRDefault="00C67163" w:rsidP="00084BE6">
            <w:pPr>
              <w:jc w:val="both"/>
              <w:rPr>
                <w:rFonts w:ascii="Arial" w:hAnsi="Arial" w:cs="Arial"/>
                <w:b/>
                <w:i/>
              </w:rPr>
            </w:pPr>
            <w:r w:rsidRPr="004A17BB">
              <w:rPr>
                <w:rFonts w:ascii="Arial" w:hAnsi="Arial" w:cs="Arial"/>
              </w:rPr>
              <w:t>Local Resource Adequacy [•</w:t>
            </w:r>
            <w:r>
              <w:rPr>
                <w:rFonts w:ascii="Arial" w:hAnsi="Arial" w:cs="Arial"/>
              </w:rPr>
              <w:t xml:space="preserve">] </w:t>
            </w:r>
            <w:r w:rsidR="00515819">
              <w:rPr>
                <w:rFonts w:ascii="Arial" w:hAnsi="Arial" w:cs="Arial"/>
              </w:rPr>
              <w:t>MW</w:t>
            </w:r>
          </w:p>
          <w:p w14:paraId="227D4C20" w14:textId="603E52BB" w:rsidR="00084BE6" w:rsidRPr="004A17BB" w:rsidRDefault="00C67163" w:rsidP="00084BE6">
            <w:pPr>
              <w:jc w:val="both"/>
              <w:rPr>
                <w:rFonts w:ascii="Arial" w:hAnsi="Arial" w:cs="Arial"/>
              </w:rPr>
            </w:pPr>
            <w:r w:rsidRPr="004A17BB">
              <w:rPr>
                <w:rFonts w:ascii="Arial" w:hAnsi="Arial" w:cs="Arial"/>
              </w:rPr>
              <w:t>Flexible Resource Adequacy [•]</w:t>
            </w:r>
            <w:r w:rsidR="008467F7">
              <w:rPr>
                <w:rFonts w:ascii="Arial" w:hAnsi="Arial" w:cs="Arial"/>
              </w:rPr>
              <w:t xml:space="preserve"> </w:t>
            </w:r>
            <w:r w:rsidR="00515819">
              <w:rPr>
                <w:rFonts w:ascii="Arial" w:hAnsi="Arial" w:cs="Arial"/>
              </w:rPr>
              <w:t>MW</w:t>
            </w:r>
          </w:p>
        </w:tc>
      </w:tr>
      <w:tr w:rsidR="004D7834" w14:paraId="01D7CE79" w14:textId="77777777" w:rsidTr="00084BE6">
        <w:tc>
          <w:tcPr>
            <w:tcW w:w="900" w:type="dxa"/>
          </w:tcPr>
          <w:p w14:paraId="52B706A2"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52865EB9" w14:textId="77777777" w:rsidR="00084BE6" w:rsidRPr="004A17BB" w:rsidRDefault="00C67163" w:rsidP="00084BE6">
            <w:pPr>
              <w:rPr>
                <w:rFonts w:ascii="Arial" w:hAnsi="Arial" w:cs="Arial"/>
              </w:rPr>
            </w:pPr>
            <w:r w:rsidRPr="004A17BB">
              <w:rPr>
                <w:rFonts w:ascii="Arial" w:hAnsi="Arial" w:cs="Arial"/>
              </w:rPr>
              <w:t>Contract Price</w:t>
            </w:r>
          </w:p>
        </w:tc>
        <w:tc>
          <w:tcPr>
            <w:tcW w:w="7020" w:type="dxa"/>
          </w:tcPr>
          <w:p w14:paraId="0C2C850D" w14:textId="77777777" w:rsidR="00EE2722" w:rsidRDefault="00C67163" w:rsidP="00084BE6">
            <w:pPr>
              <w:jc w:val="both"/>
              <w:rPr>
                <w:rFonts w:ascii="Arial" w:hAnsi="Arial" w:cs="Arial"/>
              </w:rPr>
            </w:pPr>
            <w:r>
              <w:rPr>
                <w:rFonts w:ascii="Arial" w:hAnsi="Arial" w:cs="Arial"/>
              </w:rPr>
              <w:t>RPS Energy ($/MWh bundled</w:t>
            </w:r>
            <w:r w:rsidR="00EE2722">
              <w:rPr>
                <w:rFonts w:ascii="Arial" w:hAnsi="Arial" w:cs="Arial"/>
              </w:rPr>
              <w:t xml:space="preserve"> energy/capacity</w:t>
            </w:r>
            <w:r>
              <w:rPr>
                <w:rFonts w:ascii="Arial" w:hAnsi="Arial" w:cs="Arial"/>
              </w:rPr>
              <w:t xml:space="preserve"> price</w:t>
            </w:r>
            <w:r w:rsidR="00EE2722">
              <w:rPr>
                <w:rFonts w:ascii="Arial" w:hAnsi="Arial" w:cs="Arial"/>
              </w:rPr>
              <w:t xml:space="preserve"> or energy only</w:t>
            </w:r>
            <w:r>
              <w:rPr>
                <w:rFonts w:ascii="Arial" w:hAnsi="Arial" w:cs="Arial"/>
              </w:rPr>
              <w:t xml:space="preserve">): </w:t>
            </w:r>
          </w:p>
          <w:p w14:paraId="07ECD24D" w14:textId="76934E37" w:rsidR="00084BE6" w:rsidRPr="004A17BB" w:rsidRDefault="00C67163" w:rsidP="00084BE6">
            <w:pPr>
              <w:jc w:val="both"/>
              <w:rPr>
                <w:rFonts w:ascii="Arial" w:hAnsi="Arial" w:cs="Arial"/>
                <w:b/>
                <w:i/>
              </w:rPr>
            </w:pPr>
            <w:r w:rsidRPr="004A17BB">
              <w:rPr>
                <w:rFonts w:ascii="Arial" w:hAnsi="Arial" w:cs="Arial"/>
              </w:rPr>
              <w:t xml:space="preserve">[•] </w:t>
            </w:r>
            <w:r>
              <w:rPr>
                <w:rFonts w:ascii="Arial" w:hAnsi="Arial" w:cs="Arial"/>
              </w:rPr>
              <w:t>$/</w:t>
            </w:r>
            <w:r w:rsidRPr="004A17BB">
              <w:rPr>
                <w:rFonts w:ascii="Arial" w:hAnsi="Arial" w:cs="Arial"/>
              </w:rPr>
              <w:t>MW</w:t>
            </w:r>
            <w:r>
              <w:rPr>
                <w:rFonts w:ascii="Arial" w:hAnsi="Arial" w:cs="Arial"/>
              </w:rPr>
              <w:t>h</w:t>
            </w:r>
            <w:r w:rsidRPr="004A17BB">
              <w:rPr>
                <w:rFonts w:ascii="Arial" w:hAnsi="Arial" w:cs="Arial"/>
              </w:rPr>
              <w:t xml:space="preserve"> </w:t>
            </w:r>
            <w:r w:rsidRPr="004A17BB">
              <w:rPr>
                <w:rFonts w:ascii="Arial" w:hAnsi="Arial" w:cs="Arial"/>
                <w:b/>
                <w:i/>
              </w:rPr>
              <w:t>[Seller to designate]</w:t>
            </w:r>
          </w:p>
          <w:p w14:paraId="234C8773" w14:textId="231D651D" w:rsidR="00084BE6" w:rsidRDefault="00084BE6" w:rsidP="00084BE6">
            <w:pPr>
              <w:pStyle w:val="ListParagraph"/>
              <w:ind w:left="0"/>
              <w:jc w:val="both"/>
              <w:rPr>
                <w:rFonts w:ascii="Arial" w:hAnsi="Arial" w:cs="Arial"/>
              </w:rPr>
            </w:pPr>
          </w:p>
          <w:p w14:paraId="2C2E2896" w14:textId="06BB79F7" w:rsidR="00084BE6" w:rsidRPr="004A17BB" w:rsidRDefault="008467F7" w:rsidP="008467F7">
            <w:pPr>
              <w:pStyle w:val="ListParagraph"/>
              <w:ind w:left="0"/>
              <w:jc w:val="both"/>
              <w:rPr>
                <w:rFonts w:ascii="Arial" w:hAnsi="Arial" w:cs="Arial"/>
              </w:rPr>
            </w:pPr>
            <w:r>
              <w:rPr>
                <w:rFonts w:ascii="Arial" w:hAnsi="Arial" w:cs="Arial"/>
              </w:rPr>
              <w:t>Capacity Only</w:t>
            </w:r>
            <w:r w:rsidR="00C67163" w:rsidRPr="004A17BB">
              <w:rPr>
                <w:rFonts w:ascii="Arial" w:hAnsi="Arial" w:cs="Arial"/>
              </w:rPr>
              <w:t xml:space="preserve"> = [•] $/kw-month </w:t>
            </w:r>
            <w:r w:rsidR="00C67163" w:rsidRPr="004A17BB">
              <w:rPr>
                <w:rFonts w:ascii="Arial" w:hAnsi="Arial" w:cs="Arial"/>
                <w:b/>
                <w:i/>
              </w:rPr>
              <w:t>[Seller to designate]</w:t>
            </w:r>
          </w:p>
        </w:tc>
      </w:tr>
      <w:tr w:rsidR="004D7834" w14:paraId="0A8B73E6" w14:textId="77777777" w:rsidTr="00084BE6">
        <w:tc>
          <w:tcPr>
            <w:tcW w:w="900" w:type="dxa"/>
          </w:tcPr>
          <w:p w14:paraId="4F18B27A"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0183C6D9" w14:textId="77777777" w:rsidR="00084BE6" w:rsidRPr="004A17BB" w:rsidRDefault="00C67163" w:rsidP="00084BE6">
            <w:pPr>
              <w:rPr>
                <w:rFonts w:ascii="Arial" w:hAnsi="Arial" w:cs="Arial"/>
              </w:rPr>
            </w:pPr>
            <w:r w:rsidRPr="004A17BB">
              <w:rPr>
                <w:rFonts w:ascii="Arial" w:hAnsi="Arial" w:cs="Arial"/>
              </w:rPr>
              <w:t>Operating Parameters</w:t>
            </w:r>
          </w:p>
        </w:tc>
        <w:tc>
          <w:tcPr>
            <w:tcW w:w="7020" w:type="dxa"/>
          </w:tcPr>
          <w:p w14:paraId="377012C1" w14:textId="77777777" w:rsidR="00084BE6" w:rsidRPr="004A17BB" w:rsidRDefault="00C67163" w:rsidP="00084BE6">
            <w:pPr>
              <w:pStyle w:val="ListParagraph"/>
              <w:ind w:left="0"/>
              <w:jc w:val="both"/>
              <w:rPr>
                <w:rFonts w:ascii="Arial" w:hAnsi="Arial" w:cs="Arial"/>
              </w:rPr>
            </w:pPr>
            <w:r w:rsidRPr="004A17BB">
              <w:rPr>
                <w:rFonts w:ascii="Arial" w:hAnsi="Arial" w:cs="Arial"/>
              </w:rPr>
              <w:t>The Operating Parameters of the Project are:</w:t>
            </w:r>
          </w:p>
          <w:p w14:paraId="618C3820" w14:textId="77777777" w:rsidR="00084BE6" w:rsidRPr="004A17BB" w:rsidRDefault="00084BE6" w:rsidP="00084BE6">
            <w:pPr>
              <w:pStyle w:val="ListParagraph"/>
              <w:ind w:left="0"/>
              <w:jc w:val="both"/>
              <w:rPr>
                <w:rFonts w:ascii="Arial" w:hAnsi="Arial" w:cs="Arial"/>
              </w:rPr>
            </w:pPr>
          </w:p>
          <w:p w14:paraId="5B5209E7" w14:textId="77777777" w:rsidR="00084BE6" w:rsidRPr="004A17BB" w:rsidRDefault="00C67163" w:rsidP="00084BE6">
            <w:pPr>
              <w:pStyle w:val="ListParagraph"/>
              <w:ind w:left="0"/>
              <w:jc w:val="both"/>
              <w:rPr>
                <w:rFonts w:ascii="Arial" w:hAnsi="Arial" w:cs="Arial"/>
              </w:rPr>
            </w:pPr>
            <w:r w:rsidRPr="004A17BB">
              <w:rPr>
                <w:rFonts w:ascii="Arial" w:hAnsi="Arial" w:cs="Arial"/>
              </w:rPr>
              <w:t>Delivery Months:</w:t>
            </w:r>
          </w:p>
          <w:p w14:paraId="7552BA6E" w14:textId="77777777" w:rsidR="00084BE6" w:rsidRPr="004A17BB" w:rsidRDefault="00C67163" w:rsidP="00084BE6">
            <w:pPr>
              <w:pStyle w:val="ListParagraph"/>
              <w:numPr>
                <w:ilvl w:val="0"/>
                <w:numId w:val="7"/>
              </w:numPr>
              <w:jc w:val="both"/>
              <w:rPr>
                <w:rFonts w:ascii="Arial" w:hAnsi="Arial" w:cs="Arial"/>
              </w:rPr>
            </w:pPr>
            <w:r w:rsidRPr="004A17BB">
              <w:rPr>
                <w:rFonts w:ascii="Arial" w:hAnsi="Arial" w:cs="Arial"/>
                <w:b/>
                <w:i/>
              </w:rPr>
              <w:t>[Seller to designate]</w:t>
            </w:r>
          </w:p>
          <w:p w14:paraId="01C71429" w14:textId="77777777" w:rsidR="00084BE6" w:rsidRPr="004A17BB" w:rsidRDefault="00084BE6" w:rsidP="00084BE6">
            <w:pPr>
              <w:jc w:val="both"/>
              <w:rPr>
                <w:rFonts w:ascii="Arial" w:hAnsi="Arial" w:cs="Arial"/>
              </w:rPr>
            </w:pPr>
          </w:p>
          <w:p w14:paraId="4D5D28A8" w14:textId="77777777" w:rsidR="00084BE6" w:rsidRPr="004A17BB" w:rsidRDefault="00C67163" w:rsidP="00084BE6">
            <w:pPr>
              <w:jc w:val="both"/>
              <w:rPr>
                <w:rFonts w:ascii="Arial" w:hAnsi="Arial" w:cs="Arial"/>
              </w:rPr>
            </w:pPr>
            <w:r w:rsidRPr="004A17BB">
              <w:rPr>
                <w:rFonts w:ascii="Arial" w:hAnsi="Arial" w:cs="Arial"/>
              </w:rPr>
              <w:t>Delivery Days:</w:t>
            </w:r>
          </w:p>
          <w:p w14:paraId="09EDA4FB" w14:textId="77777777" w:rsidR="00084BE6" w:rsidRPr="004A17BB" w:rsidRDefault="00C67163" w:rsidP="00084BE6">
            <w:pPr>
              <w:pStyle w:val="ListParagraph"/>
              <w:numPr>
                <w:ilvl w:val="0"/>
                <w:numId w:val="7"/>
              </w:numPr>
              <w:jc w:val="both"/>
              <w:rPr>
                <w:rFonts w:ascii="Arial" w:hAnsi="Arial" w:cs="Arial"/>
              </w:rPr>
            </w:pPr>
            <w:r w:rsidRPr="004A17BB">
              <w:rPr>
                <w:rFonts w:ascii="Arial" w:hAnsi="Arial" w:cs="Arial"/>
                <w:b/>
                <w:i/>
              </w:rPr>
              <w:t>[Seller to designate]</w:t>
            </w:r>
          </w:p>
          <w:p w14:paraId="7CDEE388" w14:textId="77777777" w:rsidR="00084BE6" w:rsidRDefault="00084BE6" w:rsidP="00084BE6">
            <w:pPr>
              <w:pStyle w:val="ListParagraph"/>
              <w:ind w:left="0"/>
              <w:jc w:val="both"/>
              <w:rPr>
                <w:rFonts w:ascii="Arial" w:hAnsi="Arial" w:cs="Arial"/>
              </w:rPr>
            </w:pPr>
          </w:p>
          <w:p w14:paraId="0DCBDB02" w14:textId="77777777" w:rsidR="00084BE6" w:rsidRDefault="00C67163" w:rsidP="00084BE6">
            <w:pPr>
              <w:pStyle w:val="ListParagraph"/>
              <w:ind w:left="0"/>
              <w:jc w:val="both"/>
              <w:rPr>
                <w:rFonts w:ascii="Arial" w:hAnsi="Arial" w:cs="Arial"/>
              </w:rPr>
            </w:pPr>
            <w:r>
              <w:rPr>
                <w:rFonts w:ascii="Arial" w:hAnsi="Arial" w:cs="Arial"/>
              </w:rPr>
              <w:t>Nameplate Capacity:</w:t>
            </w:r>
          </w:p>
          <w:p w14:paraId="609DA647" w14:textId="77777777" w:rsidR="00084BE6" w:rsidRPr="004A17BB" w:rsidRDefault="00C67163" w:rsidP="00084BE6">
            <w:pPr>
              <w:pStyle w:val="ListParagraph"/>
              <w:numPr>
                <w:ilvl w:val="0"/>
                <w:numId w:val="7"/>
              </w:numPr>
              <w:jc w:val="both"/>
              <w:rPr>
                <w:rFonts w:ascii="Arial" w:hAnsi="Arial" w:cs="Arial"/>
              </w:rPr>
            </w:pPr>
            <w:r w:rsidRPr="004A17BB">
              <w:rPr>
                <w:rFonts w:ascii="Arial" w:hAnsi="Arial" w:cs="Arial"/>
                <w:b/>
                <w:i/>
              </w:rPr>
              <w:t>[Seller to designate]</w:t>
            </w:r>
          </w:p>
          <w:p w14:paraId="1B00E7BC" w14:textId="77777777" w:rsidR="00084BE6" w:rsidRDefault="00084BE6" w:rsidP="00084BE6">
            <w:pPr>
              <w:pStyle w:val="ListParagraph"/>
              <w:ind w:left="0"/>
              <w:jc w:val="both"/>
              <w:rPr>
                <w:rFonts w:ascii="Arial" w:hAnsi="Arial" w:cs="Arial"/>
              </w:rPr>
            </w:pPr>
          </w:p>
          <w:p w14:paraId="0CC6C708" w14:textId="77777777" w:rsidR="00084BE6" w:rsidRDefault="00C67163" w:rsidP="00084BE6">
            <w:pPr>
              <w:pStyle w:val="ListParagraph"/>
              <w:ind w:left="0"/>
              <w:jc w:val="both"/>
              <w:rPr>
                <w:rFonts w:ascii="Arial" w:hAnsi="Arial" w:cs="Arial"/>
              </w:rPr>
            </w:pPr>
            <w:r>
              <w:rPr>
                <w:rFonts w:ascii="Arial" w:hAnsi="Arial" w:cs="Arial"/>
              </w:rPr>
              <w:t>Net Qualifying Capacity:</w:t>
            </w:r>
          </w:p>
          <w:p w14:paraId="40CE2611" w14:textId="77777777" w:rsidR="00084BE6" w:rsidRPr="004A17BB" w:rsidRDefault="00C67163" w:rsidP="00084BE6">
            <w:pPr>
              <w:pStyle w:val="ListParagraph"/>
              <w:numPr>
                <w:ilvl w:val="0"/>
                <w:numId w:val="7"/>
              </w:numPr>
              <w:jc w:val="both"/>
              <w:rPr>
                <w:rFonts w:ascii="Arial" w:hAnsi="Arial" w:cs="Arial"/>
              </w:rPr>
            </w:pPr>
            <w:r w:rsidRPr="004A17BB">
              <w:rPr>
                <w:rFonts w:ascii="Arial" w:hAnsi="Arial" w:cs="Arial"/>
                <w:b/>
                <w:i/>
              </w:rPr>
              <w:t>[Seller to designate]</w:t>
            </w:r>
          </w:p>
          <w:p w14:paraId="3F9741CD" w14:textId="77777777" w:rsidR="00084BE6" w:rsidRDefault="00084BE6" w:rsidP="00084BE6">
            <w:pPr>
              <w:pStyle w:val="ListParagraph"/>
              <w:ind w:left="0"/>
              <w:jc w:val="both"/>
              <w:rPr>
                <w:rFonts w:ascii="Arial" w:hAnsi="Arial" w:cs="Arial"/>
              </w:rPr>
            </w:pPr>
          </w:p>
          <w:p w14:paraId="28C43755" w14:textId="77777777" w:rsidR="00084BE6" w:rsidRPr="004A17BB" w:rsidRDefault="00084BE6" w:rsidP="00084BE6">
            <w:pPr>
              <w:pStyle w:val="ListParagraph"/>
              <w:ind w:left="0"/>
              <w:jc w:val="both"/>
              <w:rPr>
                <w:rFonts w:ascii="Arial" w:hAnsi="Arial" w:cs="Arial"/>
              </w:rPr>
            </w:pPr>
          </w:p>
        </w:tc>
      </w:tr>
      <w:tr w:rsidR="004D7834" w14:paraId="77F9D661" w14:textId="77777777" w:rsidTr="00084BE6">
        <w:tc>
          <w:tcPr>
            <w:tcW w:w="900" w:type="dxa"/>
          </w:tcPr>
          <w:p w14:paraId="22EA04FD"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06CE2DDD" w14:textId="77777777" w:rsidR="00084BE6" w:rsidRPr="004A17BB" w:rsidRDefault="00C67163">
            <w:pPr>
              <w:rPr>
                <w:rFonts w:ascii="Arial" w:hAnsi="Arial" w:cs="Arial"/>
              </w:rPr>
            </w:pPr>
            <w:r w:rsidRPr="004A17BB">
              <w:rPr>
                <w:rFonts w:ascii="Arial" w:hAnsi="Arial" w:cs="Arial"/>
              </w:rPr>
              <w:t>Scheduling</w:t>
            </w:r>
          </w:p>
        </w:tc>
        <w:tc>
          <w:tcPr>
            <w:tcW w:w="7020" w:type="dxa"/>
          </w:tcPr>
          <w:p w14:paraId="5A5A18D7" w14:textId="700BE641" w:rsidR="00681FF7" w:rsidRDefault="008467F7" w:rsidP="00084BE6">
            <w:pPr>
              <w:jc w:val="both"/>
              <w:rPr>
                <w:rFonts w:ascii="Arial" w:hAnsi="Arial" w:cs="Arial"/>
              </w:rPr>
            </w:pPr>
            <w:r>
              <w:rPr>
                <w:rFonts w:ascii="Arial" w:hAnsi="Arial" w:cs="Arial"/>
              </w:rPr>
              <w:t xml:space="preserve">For RPS Energy Products, </w:t>
            </w:r>
            <w:r w:rsidR="00EE2722">
              <w:rPr>
                <w:rFonts w:ascii="Arial" w:hAnsi="Arial" w:cs="Arial"/>
              </w:rPr>
              <w:t xml:space="preserve">Buyer or Buyer’s agent shall act as the Scheduling Coordinator (as defined by the CAISO) or “SC”, for the </w:t>
            </w:r>
            <w:r w:rsidR="00681FF7">
              <w:rPr>
                <w:rFonts w:ascii="Arial" w:hAnsi="Arial" w:cs="Arial"/>
              </w:rPr>
              <w:t>F</w:t>
            </w:r>
            <w:r w:rsidR="00EE2722">
              <w:rPr>
                <w:rFonts w:ascii="Arial" w:hAnsi="Arial" w:cs="Arial"/>
              </w:rPr>
              <w:t>acility</w:t>
            </w:r>
            <w:r w:rsidR="00681FF7">
              <w:rPr>
                <w:rFonts w:ascii="Arial" w:hAnsi="Arial" w:cs="Arial"/>
              </w:rPr>
              <w:t xml:space="preserve">.  </w:t>
            </w:r>
            <w:r w:rsidR="00EE2722">
              <w:rPr>
                <w:rFonts w:ascii="Arial" w:hAnsi="Arial" w:cs="Arial"/>
              </w:rPr>
              <w:t xml:space="preserve"> </w:t>
            </w:r>
            <w:r w:rsidR="00681FF7">
              <w:rPr>
                <w:rFonts w:ascii="Arial" w:hAnsi="Arial" w:cs="Arial"/>
              </w:rPr>
              <w:t>Buyer shall be financially responsible for such services and shall pay for all CAISO charges and retain all CAISO payments;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Facility (including Non-Availability Charges), if applicable, or (iv) to the extent arising as a result of Seller’s failure to comply with a timely Buyer Curtailment Order if such failure results in incremental costs to buyer.</w:t>
            </w:r>
          </w:p>
          <w:p w14:paraId="081FFB5B" w14:textId="2C3F80E3" w:rsidR="00681FF7" w:rsidRDefault="00681FF7" w:rsidP="00084BE6">
            <w:pPr>
              <w:jc w:val="both"/>
              <w:rPr>
                <w:rFonts w:ascii="Arial" w:hAnsi="Arial" w:cs="Arial"/>
              </w:rPr>
            </w:pPr>
          </w:p>
          <w:p w14:paraId="1B406174" w14:textId="66D025FA" w:rsidR="00681FF7" w:rsidRDefault="00681FF7" w:rsidP="00084BE6">
            <w:pPr>
              <w:jc w:val="both"/>
              <w:rPr>
                <w:rFonts w:ascii="Arial" w:hAnsi="Arial" w:cs="Arial"/>
              </w:rPr>
            </w:pPr>
            <w:r>
              <w:rPr>
                <w:rFonts w:ascii="Arial" w:hAnsi="Arial" w:cs="Arial"/>
              </w:rPr>
              <w:t>Seller shall provide to Buyer non-binding annual, monthly, and day-ahead forecasts of Delivered Energy within a timeline that allows Buyer or Buyer’s agent the ability to meet the CAISO day-ahead scheduling protocols and deadlines.  Outage and curtailment notifications will be required by Buyer as well as access to Facility generation data.</w:t>
            </w:r>
          </w:p>
          <w:p w14:paraId="03FE322D" w14:textId="13D49A7B" w:rsidR="00681FF7" w:rsidRDefault="00681FF7" w:rsidP="00084BE6">
            <w:pPr>
              <w:jc w:val="both"/>
              <w:rPr>
                <w:rFonts w:ascii="Arial" w:hAnsi="Arial" w:cs="Arial"/>
              </w:rPr>
            </w:pPr>
          </w:p>
          <w:p w14:paraId="5E37294A" w14:textId="6A56A89B" w:rsidR="008467F7" w:rsidRDefault="008467F7" w:rsidP="00084BE6">
            <w:pPr>
              <w:jc w:val="both"/>
              <w:rPr>
                <w:rFonts w:ascii="Arial" w:hAnsi="Arial" w:cs="Arial"/>
              </w:rPr>
            </w:pPr>
            <w:r>
              <w:rPr>
                <w:rFonts w:ascii="Arial" w:hAnsi="Arial" w:cs="Arial"/>
              </w:rPr>
              <w:t xml:space="preserve">For Capacity Only Products, Seller or Seller’s agent shall act as the SC.  Seller shall be financially responsible for such services and shall pay for all CAISO charges and retain all CAISO payments.  </w:t>
            </w:r>
          </w:p>
          <w:p w14:paraId="1ECC18E6" w14:textId="77777777" w:rsidR="008467F7" w:rsidRDefault="008467F7" w:rsidP="00681FF7">
            <w:pPr>
              <w:jc w:val="both"/>
              <w:rPr>
                <w:rFonts w:ascii="Arial" w:hAnsi="Arial" w:cs="Arial"/>
              </w:rPr>
            </w:pPr>
          </w:p>
          <w:p w14:paraId="634F659B" w14:textId="162B4EB0" w:rsidR="00084BE6" w:rsidRPr="004A17BB" w:rsidRDefault="00681FF7" w:rsidP="00681FF7">
            <w:pPr>
              <w:jc w:val="both"/>
              <w:rPr>
                <w:rFonts w:ascii="Arial" w:hAnsi="Arial" w:cs="Arial"/>
              </w:rPr>
            </w:pPr>
            <w:r>
              <w:rPr>
                <w:rFonts w:ascii="Arial" w:hAnsi="Arial" w:cs="Arial"/>
              </w:rPr>
              <w:t>(</w:t>
            </w:r>
            <w:r>
              <w:rPr>
                <w:rFonts w:ascii="Arial" w:hAnsi="Arial" w:cs="Arial"/>
                <w:i/>
              </w:rPr>
              <w:t xml:space="preserve">Note: </w:t>
            </w:r>
            <w:r w:rsidR="008467F7">
              <w:rPr>
                <w:rFonts w:ascii="Arial" w:hAnsi="Arial" w:cs="Arial"/>
                <w:i/>
              </w:rPr>
              <w:t xml:space="preserve">For RPS Energy Products, </w:t>
            </w:r>
            <w:r w:rsidRPr="00681FF7">
              <w:rPr>
                <w:rFonts w:ascii="Arial" w:hAnsi="Arial" w:cs="Arial"/>
                <w:i/>
              </w:rPr>
              <w:t xml:space="preserve">Seller may elect to </w:t>
            </w:r>
            <w:r>
              <w:rPr>
                <w:rFonts w:ascii="Arial" w:hAnsi="Arial" w:cs="Arial"/>
                <w:i/>
              </w:rPr>
              <w:t>be responsible for the SC role</w:t>
            </w:r>
            <w:r w:rsidRPr="00681FF7">
              <w:rPr>
                <w:rFonts w:ascii="Arial" w:hAnsi="Arial" w:cs="Arial"/>
                <w:i/>
              </w:rPr>
              <w:t xml:space="preserve">, subject to Buyer approval of SC. </w:t>
            </w:r>
            <w:r>
              <w:rPr>
                <w:rFonts w:ascii="Arial" w:hAnsi="Arial" w:cs="Arial"/>
                <w:i/>
              </w:rPr>
              <w:t>Buyer will otherwise be responsible for the SC role where Buyer’s output share is 100%.  If Buyer’s output share is less than 100%, then Seller will be responsible for performing the SC role.)</w:t>
            </w:r>
          </w:p>
        </w:tc>
      </w:tr>
      <w:tr w:rsidR="004D7834" w14:paraId="12BDDD94" w14:textId="77777777" w:rsidTr="00084BE6">
        <w:tc>
          <w:tcPr>
            <w:tcW w:w="900" w:type="dxa"/>
          </w:tcPr>
          <w:p w14:paraId="46A236BB"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581A8890" w14:textId="2547C431" w:rsidR="00084BE6" w:rsidRDefault="00C67163">
            <w:pPr>
              <w:rPr>
                <w:rFonts w:ascii="Arial" w:hAnsi="Arial" w:cs="Arial"/>
              </w:rPr>
            </w:pPr>
            <w:r>
              <w:rPr>
                <w:rFonts w:ascii="Arial" w:hAnsi="Arial" w:cs="Arial"/>
              </w:rPr>
              <w:t>Curtailment Rights</w:t>
            </w:r>
            <w:r w:rsidR="00F239C4">
              <w:rPr>
                <w:rFonts w:ascii="Arial" w:hAnsi="Arial" w:cs="Arial"/>
              </w:rPr>
              <w:t xml:space="preserve"> (applies to RPS Energy Product)</w:t>
            </w:r>
          </w:p>
        </w:tc>
        <w:tc>
          <w:tcPr>
            <w:tcW w:w="7020" w:type="dxa"/>
          </w:tcPr>
          <w:p w14:paraId="0CF5D3FB" w14:textId="77777777" w:rsidR="00084BE6" w:rsidRPr="00F70CB2" w:rsidRDefault="00C67163" w:rsidP="00084BE6">
            <w:pPr>
              <w:jc w:val="both"/>
              <w:rPr>
                <w:rFonts w:ascii="Arial" w:hAnsi="Arial" w:cs="Arial"/>
              </w:rPr>
            </w:pPr>
            <w:r w:rsidRPr="005B4770">
              <w:rPr>
                <w:rFonts w:ascii="Arial" w:hAnsi="Arial" w:cs="Arial"/>
                <w:u w:val="single"/>
              </w:rPr>
              <w:t>Reliability-b</w:t>
            </w:r>
            <w:r w:rsidRPr="00493A8A">
              <w:rPr>
                <w:rFonts w:ascii="Arial" w:hAnsi="Arial" w:cs="Arial"/>
                <w:u w:val="single"/>
              </w:rPr>
              <w:t xml:space="preserve">ased </w:t>
            </w:r>
            <w:r>
              <w:rPr>
                <w:rFonts w:ascii="Arial" w:hAnsi="Arial" w:cs="Arial"/>
                <w:u w:val="single"/>
              </w:rPr>
              <w:t>C</w:t>
            </w:r>
            <w:r w:rsidRPr="005B4770">
              <w:rPr>
                <w:rFonts w:ascii="Arial" w:hAnsi="Arial" w:cs="Arial"/>
                <w:u w:val="single"/>
              </w:rPr>
              <w:t>urtailment</w:t>
            </w:r>
            <w:r>
              <w:rPr>
                <w:rFonts w:ascii="Arial" w:hAnsi="Arial" w:cs="Arial"/>
              </w:rPr>
              <w:t xml:space="preserve">:  </w:t>
            </w:r>
            <w:r w:rsidRPr="00F70CB2">
              <w:rPr>
                <w:rFonts w:ascii="Arial" w:hAnsi="Arial" w:cs="Arial"/>
              </w:rPr>
              <w:t xml:space="preserve">In the event the </w:t>
            </w:r>
            <w:r>
              <w:rPr>
                <w:rFonts w:ascii="Arial" w:hAnsi="Arial" w:cs="Arial"/>
              </w:rPr>
              <w:t>Project</w:t>
            </w:r>
            <w:r w:rsidRPr="00F70CB2">
              <w:rPr>
                <w:rFonts w:ascii="Arial" w:hAnsi="Arial" w:cs="Arial"/>
              </w:rPr>
              <w:t xml:space="preserve"> is curtailed due to Force Majeure, by the CAISO or the transmission owner, or for any reason other than Buyer’s action or inaction, Seller shall not be liable for failure to deliver such curtailed energy and Buyer shall not be obligated to pay for such curtailed energy.</w:t>
            </w:r>
          </w:p>
          <w:p w14:paraId="4DD20B97" w14:textId="77777777" w:rsidR="00084BE6" w:rsidRPr="00F70CB2" w:rsidRDefault="00084BE6" w:rsidP="00084BE6">
            <w:pPr>
              <w:jc w:val="both"/>
              <w:rPr>
                <w:rFonts w:ascii="Arial" w:hAnsi="Arial" w:cs="Arial"/>
              </w:rPr>
            </w:pPr>
          </w:p>
          <w:p w14:paraId="0E137DAB" w14:textId="67256510" w:rsidR="00084BE6" w:rsidRDefault="00C67163" w:rsidP="00084BE6">
            <w:pPr>
              <w:jc w:val="both"/>
              <w:rPr>
                <w:rFonts w:ascii="Arial" w:hAnsi="Arial" w:cs="Arial"/>
              </w:rPr>
            </w:pPr>
            <w:r w:rsidRPr="005B4770">
              <w:rPr>
                <w:rFonts w:ascii="Arial" w:hAnsi="Arial" w:cs="Arial"/>
                <w:u w:val="single"/>
              </w:rPr>
              <w:t>Economic Curtailment</w:t>
            </w:r>
            <w:r>
              <w:rPr>
                <w:rFonts w:ascii="Arial" w:hAnsi="Arial" w:cs="Arial"/>
              </w:rPr>
              <w:t xml:space="preserve">:  </w:t>
            </w:r>
            <w:r w:rsidRPr="00F70CB2">
              <w:rPr>
                <w:rFonts w:ascii="Arial" w:hAnsi="Arial" w:cs="Arial"/>
              </w:rPr>
              <w:t xml:space="preserve">Notwithstanding the foregoing, Buyer may </w:t>
            </w:r>
            <w:r>
              <w:rPr>
                <w:rFonts w:ascii="Arial" w:hAnsi="Arial" w:cs="Arial"/>
              </w:rPr>
              <w:t xml:space="preserve">in its sole discretion </w:t>
            </w:r>
            <w:r w:rsidRPr="00F70CB2">
              <w:rPr>
                <w:rFonts w:ascii="Arial" w:hAnsi="Arial" w:cs="Arial"/>
              </w:rPr>
              <w:t xml:space="preserve">curtail deliveries of </w:t>
            </w:r>
            <w:r>
              <w:rPr>
                <w:rFonts w:ascii="Arial" w:hAnsi="Arial" w:cs="Arial"/>
              </w:rPr>
              <w:t>Product</w:t>
            </w:r>
            <w:r w:rsidRPr="00F70CB2">
              <w:rPr>
                <w:rFonts w:ascii="Arial" w:hAnsi="Arial" w:cs="Arial"/>
              </w:rPr>
              <w:t xml:space="preserve"> at any time and for any duration</w:t>
            </w:r>
            <w:r>
              <w:rPr>
                <w:rFonts w:ascii="Arial" w:hAnsi="Arial" w:cs="Arial"/>
              </w:rPr>
              <w:t xml:space="preserve">, </w:t>
            </w:r>
            <w:r w:rsidRPr="00F70CB2">
              <w:rPr>
                <w:rFonts w:ascii="Arial" w:hAnsi="Arial" w:cs="Arial"/>
              </w:rPr>
              <w:t>including curtailment due to Buyer’s self-schedule (or lack thereof) or economic bid into the CAISO</w:t>
            </w:r>
            <w:r>
              <w:rPr>
                <w:rFonts w:ascii="Arial" w:hAnsi="Arial" w:cs="Arial"/>
              </w:rPr>
              <w:t xml:space="preserve"> (“Buyer Curtailment Order”).    </w:t>
            </w:r>
            <w:r w:rsidRPr="00F70CB2">
              <w:rPr>
                <w:rFonts w:ascii="Arial" w:hAnsi="Arial" w:cs="Arial"/>
              </w:rPr>
              <w:t xml:space="preserve"> All energy not generated </w:t>
            </w:r>
            <w:r>
              <w:rPr>
                <w:rFonts w:ascii="Arial" w:hAnsi="Arial" w:cs="Arial"/>
              </w:rPr>
              <w:t xml:space="preserve">during the time period set forth in the Buyer Curtailment Order shall be </w:t>
            </w:r>
            <w:r w:rsidRPr="00F70CB2">
              <w:rPr>
                <w:rFonts w:ascii="Arial" w:hAnsi="Arial" w:cs="Arial"/>
              </w:rPr>
              <w:t xml:space="preserve">“Deemed Generated Energy.” Buyer shall pay Seller the </w:t>
            </w:r>
            <w:r>
              <w:rPr>
                <w:rFonts w:ascii="Arial" w:hAnsi="Arial" w:cs="Arial"/>
              </w:rPr>
              <w:t>Contract</w:t>
            </w:r>
            <w:r w:rsidRPr="00F70CB2">
              <w:rPr>
                <w:rFonts w:ascii="Arial" w:hAnsi="Arial" w:cs="Arial"/>
              </w:rPr>
              <w:t xml:space="preserve"> Price for all Deemed Generated Energy, except as set forth in the Annual Excess Energy provision.</w:t>
            </w:r>
          </w:p>
          <w:p w14:paraId="20A30062" w14:textId="45A5A680" w:rsidR="00681FF7" w:rsidRDefault="00681FF7" w:rsidP="00084BE6">
            <w:pPr>
              <w:jc w:val="both"/>
              <w:rPr>
                <w:rFonts w:ascii="Arial" w:hAnsi="Arial" w:cs="Arial"/>
              </w:rPr>
            </w:pPr>
          </w:p>
          <w:p w14:paraId="7EF14FF7" w14:textId="637C66DF" w:rsidR="00681FF7" w:rsidRDefault="00681FF7" w:rsidP="00084BE6">
            <w:pPr>
              <w:jc w:val="both"/>
              <w:rPr>
                <w:rFonts w:ascii="Arial" w:hAnsi="Arial" w:cs="Arial"/>
              </w:rPr>
            </w:pPr>
            <w:r w:rsidRPr="00681FF7">
              <w:rPr>
                <w:rFonts w:ascii="Arial" w:hAnsi="Arial" w:cs="Arial"/>
                <w:u w:val="single"/>
              </w:rPr>
              <w:t>Excess Curtailment</w:t>
            </w:r>
            <w:r>
              <w:rPr>
                <w:rFonts w:ascii="Arial" w:hAnsi="Arial" w:cs="Arial"/>
              </w:rPr>
              <w:t>: Notwithstanding the foregoing, Buyer may curtail deliveries of Product in excess of the maximum Annual Expected Output, and Buyer shall not be obligated to pay for such curtailed energy.</w:t>
            </w:r>
          </w:p>
          <w:p w14:paraId="1CC8CC7C" w14:textId="77777777" w:rsidR="00084BE6" w:rsidRDefault="00084BE6" w:rsidP="00084BE6">
            <w:pPr>
              <w:jc w:val="both"/>
              <w:rPr>
                <w:rFonts w:ascii="Arial" w:hAnsi="Arial" w:cs="Arial"/>
              </w:rPr>
            </w:pPr>
          </w:p>
          <w:p w14:paraId="5E596FD6" w14:textId="77777777" w:rsidR="00084BE6" w:rsidRDefault="00C67163" w:rsidP="00084BE6">
            <w:pPr>
              <w:jc w:val="both"/>
              <w:rPr>
                <w:rFonts w:ascii="Arial" w:hAnsi="Arial" w:cs="Arial"/>
              </w:rPr>
            </w:pPr>
            <w:r>
              <w:rPr>
                <w:rFonts w:ascii="Arial" w:hAnsi="Arial" w:cs="Arial"/>
              </w:rPr>
              <w:t>Seller shall be responsible for complying with all curtailment orders issued by the CAISO, the transmission owner, or Buyer.</w:t>
            </w:r>
          </w:p>
          <w:p w14:paraId="282446D3" w14:textId="77777777" w:rsidR="00084BE6" w:rsidRDefault="00084BE6" w:rsidP="00084BE6">
            <w:pPr>
              <w:jc w:val="both"/>
              <w:rPr>
                <w:rFonts w:ascii="Arial" w:hAnsi="Arial" w:cs="Arial"/>
              </w:rPr>
            </w:pPr>
          </w:p>
        </w:tc>
      </w:tr>
      <w:tr w:rsidR="004D7834" w14:paraId="2C8CA5A9" w14:textId="77777777" w:rsidTr="00084BE6">
        <w:tc>
          <w:tcPr>
            <w:tcW w:w="900" w:type="dxa"/>
          </w:tcPr>
          <w:p w14:paraId="18EA30D6"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6B6052D0" w14:textId="0944D210" w:rsidR="00084BE6" w:rsidRDefault="00C67163">
            <w:pPr>
              <w:rPr>
                <w:rFonts w:ascii="Arial" w:hAnsi="Arial" w:cs="Arial"/>
              </w:rPr>
            </w:pPr>
            <w:r>
              <w:rPr>
                <w:rFonts w:ascii="Arial" w:hAnsi="Arial" w:cs="Arial"/>
              </w:rPr>
              <w:t>Annual Excess Energy</w:t>
            </w:r>
            <w:r w:rsidR="00F239C4">
              <w:rPr>
                <w:rFonts w:ascii="Arial" w:hAnsi="Arial" w:cs="Arial"/>
              </w:rPr>
              <w:t xml:space="preserve"> (applies to RPS Energy Product)</w:t>
            </w:r>
          </w:p>
        </w:tc>
        <w:tc>
          <w:tcPr>
            <w:tcW w:w="7020" w:type="dxa"/>
          </w:tcPr>
          <w:p w14:paraId="6955E3EE" w14:textId="77777777" w:rsidR="00084BE6" w:rsidRDefault="00C67163" w:rsidP="00084BE6">
            <w:pPr>
              <w:jc w:val="both"/>
              <w:rPr>
                <w:rFonts w:ascii="Arial" w:hAnsi="Arial" w:cs="Arial"/>
              </w:rPr>
            </w:pPr>
            <w:r w:rsidRPr="00F70CB2">
              <w:rPr>
                <w:rFonts w:ascii="Arial" w:hAnsi="Arial" w:cs="Arial"/>
              </w:rPr>
              <w:t>If during any Contract Year, the sum of the Delivered Energy and Deemed Generated Energy is in excess of the</w:t>
            </w:r>
            <w:r>
              <w:rPr>
                <w:rFonts w:ascii="Arial" w:hAnsi="Arial" w:cs="Arial"/>
              </w:rPr>
              <w:t xml:space="preserve"> maximum</w:t>
            </w:r>
            <w:r w:rsidRPr="00F70CB2">
              <w:rPr>
                <w:rFonts w:ascii="Arial" w:hAnsi="Arial" w:cs="Arial"/>
              </w:rPr>
              <w:t xml:space="preserve"> Annual Expected Output, then for each MWh of Delivered Energy or Deemed Generated Energy in excess of such threshold (“Annual Excess Energy”), the applicable price paid by Buyer shall be equal to the lesser of</w:t>
            </w:r>
            <w:r>
              <w:rPr>
                <w:rFonts w:ascii="Arial" w:hAnsi="Arial" w:cs="Arial"/>
              </w:rPr>
              <w:t>:</w:t>
            </w:r>
            <w:r w:rsidRPr="00F70CB2">
              <w:rPr>
                <w:rFonts w:ascii="Arial" w:hAnsi="Arial" w:cs="Arial"/>
              </w:rPr>
              <w:t xml:space="preserve"> (a) the Delivery Point LMP applicable to the interval in which such Annual Excess Energy was delivered or deemed generated, as applicable, or (b) 75% of the </w:t>
            </w:r>
            <w:r>
              <w:rPr>
                <w:rFonts w:ascii="Arial" w:hAnsi="Arial" w:cs="Arial"/>
              </w:rPr>
              <w:t>Contract</w:t>
            </w:r>
            <w:r w:rsidRPr="00F70CB2">
              <w:rPr>
                <w:rFonts w:ascii="Arial" w:hAnsi="Arial" w:cs="Arial"/>
              </w:rPr>
              <w:t xml:space="preserve"> Price.</w:t>
            </w:r>
          </w:p>
          <w:p w14:paraId="1F1610BB" w14:textId="77777777" w:rsidR="00084BE6" w:rsidRDefault="00084BE6" w:rsidP="00084BE6">
            <w:pPr>
              <w:jc w:val="both"/>
              <w:rPr>
                <w:rFonts w:ascii="Arial" w:hAnsi="Arial" w:cs="Arial"/>
              </w:rPr>
            </w:pPr>
          </w:p>
        </w:tc>
      </w:tr>
      <w:tr w:rsidR="004D7834" w14:paraId="6F74822D" w14:textId="77777777" w:rsidTr="00084BE6">
        <w:tc>
          <w:tcPr>
            <w:tcW w:w="900" w:type="dxa"/>
          </w:tcPr>
          <w:p w14:paraId="2ABC0210"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09A7E619" w14:textId="4ADFD1DB" w:rsidR="00084BE6" w:rsidRPr="004A17BB" w:rsidRDefault="00C67163">
            <w:pPr>
              <w:rPr>
                <w:rFonts w:ascii="Arial" w:hAnsi="Arial" w:cs="Arial"/>
              </w:rPr>
            </w:pPr>
            <w:r>
              <w:rPr>
                <w:rFonts w:ascii="Arial" w:hAnsi="Arial" w:cs="Arial"/>
              </w:rPr>
              <w:t>Renewable Energy Credits and Attributes</w:t>
            </w:r>
            <w:r w:rsidR="00F239C4">
              <w:rPr>
                <w:rFonts w:ascii="Arial" w:hAnsi="Arial" w:cs="Arial"/>
              </w:rPr>
              <w:t xml:space="preserve"> </w:t>
            </w:r>
            <w:r w:rsidR="00F239C4">
              <w:rPr>
                <w:rFonts w:ascii="Arial" w:hAnsi="Arial" w:cs="Arial"/>
              </w:rPr>
              <w:lastRenderedPageBreak/>
              <w:t>(applies to RPS Energy Product)</w:t>
            </w:r>
          </w:p>
        </w:tc>
        <w:tc>
          <w:tcPr>
            <w:tcW w:w="7020" w:type="dxa"/>
          </w:tcPr>
          <w:p w14:paraId="09330F19" w14:textId="77777777" w:rsidR="00084BE6" w:rsidRDefault="00C67163" w:rsidP="00084BE6">
            <w:pPr>
              <w:jc w:val="both"/>
              <w:rPr>
                <w:rFonts w:ascii="Arial" w:hAnsi="Arial" w:cs="Arial"/>
              </w:rPr>
            </w:pPr>
            <w:r w:rsidRPr="00C552F9">
              <w:rPr>
                <w:rFonts w:ascii="Arial" w:hAnsi="Arial" w:cs="Arial"/>
              </w:rPr>
              <w:lastRenderedPageBreak/>
              <w:t xml:space="preserve">Seller will convey to Buyer all of the Renewable Energy Credits, Environmental Attributes and other ancillary products, services or attributes similar to the foregoing which are or can be produced by or </w:t>
            </w:r>
            <w:r w:rsidRPr="00C552F9">
              <w:rPr>
                <w:rFonts w:ascii="Arial" w:hAnsi="Arial" w:cs="Arial"/>
              </w:rPr>
              <w:lastRenderedPageBreak/>
              <w:t xml:space="preserve">associated with the Project and that the Project generates during the </w:t>
            </w:r>
            <w:r>
              <w:rPr>
                <w:rFonts w:ascii="Arial" w:hAnsi="Arial" w:cs="Arial"/>
              </w:rPr>
              <w:t xml:space="preserve">Delivery </w:t>
            </w:r>
            <w:r w:rsidRPr="00C552F9">
              <w:rPr>
                <w:rFonts w:ascii="Arial" w:hAnsi="Arial" w:cs="Arial"/>
              </w:rPr>
              <w:t xml:space="preserve">Term.  Seller represents and warrants that Seller holds and will maintain rights to all these attributes and Seller agrees to convey them all to the Buyer as part of the delivery of the Product from the Project.  </w:t>
            </w:r>
          </w:p>
          <w:p w14:paraId="06D6E689" w14:textId="77777777" w:rsidR="00084BE6" w:rsidRPr="00C552F9" w:rsidRDefault="00084BE6" w:rsidP="00084BE6">
            <w:pPr>
              <w:jc w:val="both"/>
              <w:rPr>
                <w:rFonts w:ascii="Arial" w:hAnsi="Arial" w:cs="Arial"/>
              </w:rPr>
            </w:pPr>
          </w:p>
          <w:p w14:paraId="7D56CEF0" w14:textId="77777777" w:rsidR="00084BE6" w:rsidRDefault="00C67163" w:rsidP="00084BE6">
            <w:pPr>
              <w:jc w:val="both"/>
              <w:rPr>
                <w:rFonts w:ascii="Arial" w:hAnsi="Arial" w:cs="Arial"/>
              </w:rPr>
            </w:pPr>
            <w:r w:rsidRPr="00C552F9">
              <w:rPr>
                <w:rFonts w:ascii="Arial" w:hAnsi="Arial" w:cs="Arial"/>
              </w:rPr>
              <w:t>Seller shall, at its sole expense, take all actions and execute all documents or instruments necessary to ensure that all WREGIS Certificates associated with all Renewable Energy Credits corresponding to the Project’s Energy are issued and tracked for purposes of satisfying the requirements of the California RPS and transferred in a timely manner to Buyer for Buyer’s sole benefit.  Seller shall reimburse Buyer for any Renewable Energy Credits associated with the Project’s generation which are not timely delivered to Buyer.</w:t>
            </w:r>
          </w:p>
          <w:p w14:paraId="064DBDBC" w14:textId="77777777" w:rsidR="00084BE6" w:rsidRPr="004A17BB" w:rsidRDefault="00084BE6" w:rsidP="00084BE6">
            <w:pPr>
              <w:jc w:val="both"/>
              <w:rPr>
                <w:rFonts w:ascii="Arial" w:hAnsi="Arial" w:cs="Arial"/>
              </w:rPr>
            </w:pPr>
          </w:p>
        </w:tc>
      </w:tr>
      <w:tr w:rsidR="004D7834" w14:paraId="3F63FE1F" w14:textId="77777777" w:rsidTr="00084BE6">
        <w:tc>
          <w:tcPr>
            <w:tcW w:w="900" w:type="dxa"/>
          </w:tcPr>
          <w:p w14:paraId="63B2F0FB"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62D3B81B" w14:textId="77777777" w:rsidR="00084BE6" w:rsidRPr="004A17BB" w:rsidRDefault="00C67163" w:rsidP="00084BE6">
            <w:pPr>
              <w:rPr>
                <w:rFonts w:ascii="Arial" w:hAnsi="Arial" w:cs="Arial"/>
              </w:rPr>
            </w:pPr>
            <w:r w:rsidRPr="004A17BB">
              <w:rPr>
                <w:rFonts w:ascii="Arial" w:hAnsi="Arial" w:cs="Arial"/>
              </w:rPr>
              <w:t>Operational Control</w:t>
            </w:r>
            <w:r>
              <w:rPr>
                <w:rFonts w:ascii="Arial" w:hAnsi="Arial" w:cs="Arial"/>
              </w:rPr>
              <w:t xml:space="preserve"> &amp; Scheduling</w:t>
            </w:r>
          </w:p>
        </w:tc>
        <w:tc>
          <w:tcPr>
            <w:tcW w:w="7020" w:type="dxa"/>
          </w:tcPr>
          <w:p w14:paraId="6F4AC55D" w14:textId="77777777" w:rsidR="00084BE6" w:rsidRDefault="00C67163" w:rsidP="00084BE6">
            <w:pPr>
              <w:jc w:val="both"/>
              <w:rPr>
                <w:rFonts w:ascii="Arial" w:hAnsi="Arial" w:cs="Arial"/>
              </w:rPr>
            </w:pPr>
            <w:r w:rsidRPr="004A17BB">
              <w:rPr>
                <w:rFonts w:ascii="Arial" w:hAnsi="Arial" w:cs="Arial"/>
              </w:rPr>
              <w:t xml:space="preserve">Notwithstanding Seller’s obligations to deliver </w:t>
            </w:r>
            <w:r>
              <w:rPr>
                <w:rFonts w:ascii="Arial" w:hAnsi="Arial" w:cs="Arial"/>
              </w:rPr>
              <w:t>P</w:t>
            </w:r>
            <w:r w:rsidRPr="004A17BB">
              <w:rPr>
                <w:rFonts w:ascii="Arial" w:hAnsi="Arial" w:cs="Arial"/>
              </w:rPr>
              <w:t>roducts, Seller will have operational control of the Project and be responsible for operation and maintenance of the Project.  Buyer will not bear any costs related to</w:t>
            </w:r>
            <w:r>
              <w:rPr>
                <w:rFonts w:ascii="Arial" w:hAnsi="Arial" w:cs="Arial"/>
              </w:rPr>
              <w:t xml:space="preserve"> permitting, development, </w:t>
            </w:r>
            <w:r w:rsidRPr="004A17BB">
              <w:rPr>
                <w:rFonts w:ascii="Arial" w:hAnsi="Arial" w:cs="Arial"/>
              </w:rPr>
              <w:t xml:space="preserve">ownership, operation, scheduling, dispatch, or maintenance of the Project. </w:t>
            </w:r>
            <w:r>
              <w:rPr>
                <w:rFonts w:ascii="Arial" w:hAnsi="Arial" w:cs="Arial"/>
              </w:rPr>
              <w:t xml:space="preserve"> </w:t>
            </w:r>
          </w:p>
          <w:p w14:paraId="22826DA8" w14:textId="77777777" w:rsidR="00084BE6" w:rsidRDefault="00084BE6" w:rsidP="00084BE6">
            <w:pPr>
              <w:jc w:val="both"/>
              <w:rPr>
                <w:rFonts w:ascii="Arial" w:hAnsi="Arial" w:cs="Arial"/>
              </w:rPr>
            </w:pPr>
          </w:p>
          <w:p w14:paraId="00B59D07" w14:textId="4E2F98AE" w:rsidR="00084BE6" w:rsidRPr="004A17BB" w:rsidRDefault="00C67163" w:rsidP="00084BE6">
            <w:pPr>
              <w:jc w:val="both"/>
              <w:rPr>
                <w:rFonts w:ascii="Arial" w:hAnsi="Arial" w:cs="Arial"/>
              </w:rPr>
            </w:pPr>
            <w:r>
              <w:rPr>
                <w:rFonts w:ascii="Arial" w:hAnsi="Arial" w:cs="Arial"/>
              </w:rPr>
              <w:t xml:space="preserve">Prior to execution of the Agreement, </w:t>
            </w:r>
            <w:r w:rsidRPr="007341EC">
              <w:rPr>
                <w:rFonts w:ascii="Arial" w:hAnsi="Arial" w:cs="Arial"/>
              </w:rPr>
              <w:t xml:space="preserve">Buyer and Seller </w:t>
            </w:r>
            <w:r>
              <w:rPr>
                <w:rFonts w:ascii="Arial" w:hAnsi="Arial" w:cs="Arial"/>
              </w:rPr>
              <w:t xml:space="preserve">shall </w:t>
            </w:r>
            <w:r w:rsidRPr="007341EC">
              <w:rPr>
                <w:rFonts w:ascii="Arial" w:hAnsi="Arial" w:cs="Arial"/>
              </w:rPr>
              <w:t>mutually agree upon</w:t>
            </w:r>
            <w:r>
              <w:rPr>
                <w:rFonts w:ascii="Arial" w:hAnsi="Arial" w:cs="Arial"/>
              </w:rPr>
              <w:t xml:space="preserve"> a party (or parties) that will provide scheduling,</w:t>
            </w:r>
            <w:r w:rsidRPr="007341EC">
              <w:rPr>
                <w:rFonts w:ascii="Arial" w:hAnsi="Arial" w:cs="Arial"/>
              </w:rPr>
              <w:t xml:space="preserve"> dispatch, </w:t>
            </w:r>
            <w:r>
              <w:rPr>
                <w:rFonts w:ascii="Arial" w:hAnsi="Arial" w:cs="Arial"/>
              </w:rPr>
              <w:t>and</w:t>
            </w:r>
            <w:r w:rsidRPr="007341EC">
              <w:rPr>
                <w:rFonts w:ascii="Arial" w:hAnsi="Arial" w:cs="Arial"/>
              </w:rPr>
              <w:t xml:space="preserve"> </w:t>
            </w:r>
            <w:r>
              <w:rPr>
                <w:rFonts w:ascii="Arial" w:hAnsi="Arial" w:cs="Arial"/>
              </w:rPr>
              <w:t xml:space="preserve">operation and </w:t>
            </w:r>
            <w:r w:rsidRPr="007341EC">
              <w:rPr>
                <w:rFonts w:ascii="Arial" w:hAnsi="Arial" w:cs="Arial"/>
              </w:rPr>
              <w:t xml:space="preserve">maintenance </w:t>
            </w:r>
            <w:r>
              <w:rPr>
                <w:rFonts w:ascii="Arial" w:hAnsi="Arial" w:cs="Arial"/>
              </w:rPr>
              <w:t xml:space="preserve">services for </w:t>
            </w:r>
            <w:r w:rsidRPr="007341EC">
              <w:rPr>
                <w:rFonts w:ascii="Arial" w:hAnsi="Arial" w:cs="Arial"/>
              </w:rPr>
              <w:t>the Project</w:t>
            </w:r>
            <w:r>
              <w:rPr>
                <w:rFonts w:ascii="Arial" w:hAnsi="Arial" w:cs="Arial"/>
              </w:rPr>
              <w:t xml:space="preserve">.  </w:t>
            </w:r>
          </w:p>
          <w:p w14:paraId="5255C499" w14:textId="77777777" w:rsidR="00084BE6" w:rsidRPr="004A17BB" w:rsidRDefault="00084BE6" w:rsidP="00084BE6">
            <w:pPr>
              <w:jc w:val="both"/>
              <w:rPr>
                <w:rFonts w:ascii="Arial" w:hAnsi="Arial" w:cs="Arial"/>
              </w:rPr>
            </w:pPr>
          </w:p>
        </w:tc>
      </w:tr>
      <w:tr w:rsidR="004D7834" w14:paraId="5B8DBADC" w14:textId="77777777" w:rsidTr="00084BE6">
        <w:tc>
          <w:tcPr>
            <w:tcW w:w="900" w:type="dxa"/>
          </w:tcPr>
          <w:p w14:paraId="7A18B6B6"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212660F3" w14:textId="77777777" w:rsidR="00084BE6" w:rsidRPr="004A17BB" w:rsidRDefault="00C67163">
            <w:pPr>
              <w:rPr>
                <w:rFonts w:ascii="Arial" w:hAnsi="Arial" w:cs="Arial"/>
              </w:rPr>
            </w:pPr>
            <w:r w:rsidRPr="004A17BB">
              <w:rPr>
                <w:rFonts w:ascii="Arial" w:hAnsi="Arial" w:cs="Arial"/>
              </w:rPr>
              <w:t>Project Site and Customers</w:t>
            </w:r>
          </w:p>
        </w:tc>
        <w:tc>
          <w:tcPr>
            <w:tcW w:w="7020" w:type="dxa"/>
          </w:tcPr>
          <w:p w14:paraId="48220103" w14:textId="6C22931C" w:rsidR="00084BE6" w:rsidRPr="004A17BB" w:rsidRDefault="00C67163" w:rsidP="00681FF7">
            <w:pPr>
              <w:jc w:val="both"/>
              <w:rPr>
                <w:rFonts w:ascii="Arial" w:hAnsi="Arial" w:cs="Arial"/>
              </w:rPr>
            </w:pPr>
            <w:r w:rsidRPr="004A17BB">
              <w:rPr>
                <w:rFonts w:ascii="Arial" w:hAnsi="Arial" w:cs="Arial"/>
              </w:rPr>
              <w:t xml:space="preserve">Seller shall execute all necessary forms, documentation, and agreements in order to secure all Sites and/or Customers necessary to deliver </w:t>
            </w:r>
            <w:r>
              <w:rPr>
                <w:rFonts w:ascii="Arial" w:hAnsi="Arial" w:cs="Arial"/>
              </w:rPr>
              <w:t>Products</w:t>
            </w:r>
            <w:r w:rsidRPr="004A17BB">
              <w:rPr>
                <w:rFonts w:ascii="Arial" w:hAnsi="Arial" w:cs="Arial"/>
              </w:rPr>
              <w:t xml:space="preserve"> to Buyer.  The terms and conditions of the agreements Seller has for the Site and/or with Customers are independent of Buyer, and Buyer shall not have any responsibility or incur any liability pursuant to such agreements.</w:t>
            </w:r>
          </w:p>
        </w:tc>
      </w:tr>
      <w:tr w:rsidR="004D7834" w14:paraId="00581F46" w14:textId="77777777" w:rsidTr="00084BE6">
        <w:tc>
          <w:tcPr>
            <w:tcW w:w="900" w:type="dxa"/>
          </w:tcPr>
          <w:p w14:paraId="674683E7"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173F2A09" w14:textId="77777777" w:rsidR="00084BE6" w:rsidRPr="004A17BB" w:rsidRDefault="00C67163">
            <w:pPr>
              <w:rPr>
                <w:rFonts w:ascii="Arial" w:hAnsi="Arial" w:cs="Arial"/>
              </w:rPr>
            </w:pPr>
            <w:r w:rsidRPr="004A17BB">
              <w:rPr>
                <w:rFonts w:ascii="Arial" w:hAnsi="Arial" w:cs="Arial"/>
              </w:rPr>
              <w:t>Interconnection</w:t>
            </w:r>
          </w:p>
        </w:tc>
        <w:tc>
          <w:tcPr>
            <w:tcW w:w="7020" w:type="dxa"/>
          </w:tcPr>
          <w:p w14:paraId="6D3C4B12" w14:textId="77777777" w:rsidR="00084BE6" w:rsidRDefault="00C67163" w:rsidP="00084BE6">
            <w:pPr>
              <w:jc w:val="both"/>
              <w:rPr>
                <w:rFonts w:ascii="Arial" w:hAnsi="Arial" w:cs="Arial"/>
                <w:b/>
                <w:i/>
              </w:rPr>
            </w:pPr>
            <w:r w:rsidRPr="004A17BB">
              <w:rPr>
                <w:rFonts w:ascii="Arial" w:hAnsi="Arial" w:cs="Arial"/>
                <w:b/>
                <w:i/>
              </w:rPr>
              <w:t>[Seller to designate]</w:t>
            </w:r>
          </w:p>
          <w:p w14:paraId="3D18ED65" w14:textId="77777777" w:rsidR="00084BE6" w:rsidRPr="004A17BB" w:rsidRDefault="00084BE6" w:rsidP="00084BE6">
            <w:pPr>
              <w:jc w:val="both"/>
              <w:rPr>
                <w:rFonts w:ascii="Arial" w:hAnsi="Arial" w:cs="Arial"/>
              </w:rPr>
            </w:pPr>
          </w:p>
        </w:tc>
      </w:tr>
      <w:tr w:rsidR="004D7834" w14:paraId="20AF8A2E" w14:textId="77777777" w:rsidTr="00084BE6">
        <w:tc>
          <w:tcPr>
            <w:tcW w:w="900" w:type="dxa"/>
          </w:tcPr>
          <w:p w14:paraId="4FB48344"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5B1CA271" w14:textId="77777777" w:rsidR="00084BE6" w:rsidRPr="004A17BB" w:rsidRDefault="00C67163" w:rsidP="00084BE6">
            <w:pPr>
              <w:rPr>
                <w:rFonts w:ascii="Arial" w:hAnsi="Arial" w:cs="Arial"/>
              </w:rPr>
            </w:pPr>
            <w:r w:rsidRPr="004A17BB">
              <w:rPr>
                <w:rFonts w:ascii="Arial" w:hAnsi="Arial" w:cs="Arial"/>
              </w:rPr>
              <w:t>Initial Delivery Date (IDD)</w:t>
            </w:r>
          </w:p>
        </w:tc>
        <w:tc>
          <w:tcPr>
            <w:tcW w:w="7020" w:type="dxa"/>
          </w:tcPr>
          <w:p w14:paraId="7490B000" w14:textId="2F3DBA16" w:rsidR="00084BE6" w:rsidRDefault="0005601C" w:rsidP="00084BE6">
            <w:pPr>
              <w:jc w:val="both"/>
              <w:rPr>
                <w:rFonts w:ascii="Arial" w:hAnsi="Arial" w:cs="Arial"/>
              </w:rPr>
            </w:pPr>
            <w:r>
              <w:rPr>
                <w:rFonts w:ascii="Arial" w:hAnsi="Arial" w:cs="Arial"/>
              </w:rPr>
              <w:t>Feb</w:t>
            </w:r>
            <w:r w:rsidR="005C55A9">
              <w:rPr>
                <w:rFonts w:ascii="Arial" w:hAnsi="Arial" w:cs="Arial"/>
              </w:rPr>
              <w:t>ruary</w:t>
            </w:r>
            <w:r>
              <w:rPr>
                <w:rFonts w:ascii="Arial" w:hAnsi="Arial" w:cs="Arial"/>
              </w:rPr>
              <w:t xml:space="preserve"> 1</w:t>
            </w:r>
            <w:r w:rsidR="00C67163" w:rsidRPr="00012019">
              <w:rPr>
                <w:rFonts w:ascii="Arial" w:hAnsi="Arial" w:cs="Arial"/>
              </w:rPr>
              <w:t xml:space="preserve"> , </w:t>
            </w:r>
            <w:r>
              <w:rPr>
                <w:rFonts w:ascii="Arial" w:hAnsi="Arial" w:cs="Arial"/>
              </w:rPr>
              <w:t>2022</w:t>
            </w:r>
            <w:r w:rsidR="00C67163" w:rsidRPr="00012019">
              <w:rPr>
                <w:rFonts w:ascii="Arial" w:hAnsi="Arial" w:cs="Arial"/>
              </w:rPr>
              <w:t>.</w:t>
            </w:r>
            <w:r w:rsidR="00C67163" w:rsidRPr="004A17BB">
              <w:rPr>
                <w:rFonts w:ascii="Arial" w:hAnsi="Arial" w:cs="Arial"/>
              </w:rPr>
              <w:t xml:space="preserve">  </w:t>
            </w:r>
          </w:p>
          <w:p w14:paraId="6DBCDFDE" w14:textId="77777777" w:rsidR="00084BE6" w:rsidRDefault="00084BE6" w:rsidP="00084BE6">
            <w:pPr>
              <w:jc w:val="both"/>
              <w:rPr>
                <w:rFonts w:ascii="Arial" w:hAnsi="Arial" w:cs="Arial"/>
              </w:rPr>
            </w:pPr>
          </w:p>
          <w:p w14:paraId="01E528D6" w14:textId="77777777" w:rsidR="00084BE6" w:rsidRPr="004A17BB" w:rsidRDefault="00C67163" w:rsidP="00084BE6">
            <w:pPr>
              <w:jc w:val="both"/>
              <w:rPr>
                <w:rFonts w:ascii="Arial" w:hAnsi="Arial" w:cs="Arial"/>
                <w:b/>
              </w:rPr>
            </w:pPr>
            <w:r w:rsidRPr="004A17BB">
              <w:rPr>
                <w:rFonts w:ascii="Arial" w:hAnsi="Arial" w:cs="Arial"/>
              </w:rPr>
              <w:t>Failure to meet the Initial Delivery Date will be an Event of Default.</w:t>
            </w:r>
          </w:p>
          <w:p w14:paraId="4F5C3D7B" w14:textId="77777777" w:rsidR="00084BE6" w:rsidRPr="004A17BB" w:rsidRDefault="00084BE6" w:rsidP="00084BE6">
            <w:pPr>
              <w:jc w:val="both"/>
              <w:rPr>
                <w:rFonts w:ascii="Arial" w:hAnsi="Arial" w:cs="Arial"/>
              </w:rPr>
            </w:pPr>
          </w:p>
        </w:tc>
      </w:tr>
      <w:tr w:rsidR="004D7834" w14:paraId="2488B890" w14:textId="77777777" w:rsidTr="00084BE6">
        <w:tc>
          <w:tcPr>
            <w:tcW w:w="900" w:type="dxa"/>
          </w:tcPr>
          <w:p w14:paraId="0954BFCF"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134F2B6A" w14:textId="77777777" w:rsidR="00084BE6" w:rsidRPr="004A17BB" w:rsidRDefault="00C67163" w:rsidP="00084BE6">
            <w:pPr>
              <w:rPr>
                <w:rFonts w:ascii="Arial" w:hAnsi="Arial" w:cs="Arial"/>
              </w:rPr>
            </w:pPr>
            <w:r w:rsidRPr="004A17BB">
              <w:rPr>
                <w:rFonts w:ascii="Arial" w:hAnsi="Arial" w:cs="Arial"/>
              </w:rPr>
              <w:t>Delivery Term</w:t>
            </w:r>
          </w:p>
        </w:tc>
        <w:tc>
          <w:tcPr>
            <w:tcW w:w="7020" w:type="dxa"/>
          </w:tcPr>
          <w:p w14:paraId="5F41325C" w14:textId="77777777" w:rsidR="00084BE6" w:rsidRPr="004A17BB" w:rsidRDefault="00C67163" w:rsidP="00084BE6">
            <w:pPr>
              <w:jc w:val="both"/>
              <w:rPr>
                <w:rFonts w:ascii="Arial" w:hAnsi="Arial" w:cs="Arial"/>
              </w:rPr>
            </w:pPr>
            <w:r w:rsidRPr="004A17BB">
              <w:rPr>
                <w:rFonts w:ascii="Arial" w:hAnsi="Arial" w:cs="Arial"/>
              </w:rPr>
              <w:t>The Delivery Term will be [</w:t>
            </w:r>
            <w:r w:rsidRPr="004A17BB">
              <w:rPr>
                <w:rFonts w:ascii="Arial" w:hAnsi="Arial" w:cs="Arial"/>
                <w:b/>
                <w:i/>
              </w:rPr>
              <w:t>Seller to designate</w:t>
            </w:r>
            <w:r>
              <w:rPr>
                <w:rFonts w:ascii="Arial" w:hAnsi="Arial" w:cs="Arial"/>
                <w:b/>
                <w:i/>
              </w:rPr>
              <w:t>; minimum 10</w:t>
            </w:r>
            <w:r w:rsidRPr="004A17BB">
              <w:rPr>
                <w:rFonts w:ascii="Arial" w:hAnsi="Arial" w:cs="Arial"/>
              </w:rPr>
              <w:t>] years from the Initial Delivery Date.</w:t>
            </w:r>
          </w:p>
          <w:p w14:paraId="6335DDBE" w14:textId="77777777" w:rsidR="00084BE6" w:rsidRPr="004A17BB" w:rsidRDefault="00084BE6" w:rsidP="00084BE6">
            <w:pPr>
              <w:jc w:val="both"/>
              <w:rPr>
                <w:rFonts w:ascii="Arial" w:hAnsi="Arial" w:cs="Arial"/>
              </w:rPr>
            </w:pPr>
          </w:p>
        </w:tc>
      </w:tr>
      <w:tr w:rsidR="004D7834" w14:paraId="591729CB" w14:textId="77777777" w:rsidTr="00084BE6">
        <w:tc>
          <w:tcPr>
            <w:tcW w:w="900" w:type="dxa"/>
          </w:tcPr>
          <w:p w14:paraId="2C1D2D6D"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76648284" w14:textId="77777777" w:rsidR="00084BE6" w:rsidRPr="004A17BB" w:rsidRDefault="00C67163">
            <w:pPr>
              <w:rPr>
                <w:rFonts w:ascii="Arial" w:hAnsi="Arial" w:cs="Arial"/>
              </w:rPr>
            </w:pPr>
            <w:r w:rsidRPr="004A17BB">
              <w:rPr>
                <w:rFonts w:ascii="Arial" w:hAnsi="Arial" w:cs="Arial"/>
              </w:rPr>
              <w:t>Critical Milestones</w:t>
            </w:r>
          </w:p>
        </w:tc>
        <w:tc>
          <w:tcPr>
            <w:tcW w:w="7020" w:type="dxa"/>
          </w:tcPr>
          <w:p w14:paraId="08EFEC94" w14:textId="77777777" w:rsidR="00084BE6" w:rsidRPr="004A17BB" w:rsidRDefault="00C67163" w:rsidP="00084BE6">
            <w:pPr>
              <w:jc w:val="both"/>
              <w:rPr>
                <w:rFonts w:ascii="Arial" w:hAnsi="Arial" w:cs="Arial"/>
              </w:rPr>
            </w:pPr>
            <w:r w:rsidRPr="004A17BB">
              <w:rPr>
                <w:rFonts w:ascii="Arial" w:hAnsi="Arial" w:cs="Arial"/>
              </w:rPr>
              <w:t>Seller shall cause the development and construction of the Project to meet each of the following (“Critical Milestones)” by the date set forth: [</w:t>
            </w:r>
            <w:r w:rsidRPr="004A17BB">
              <w:rPr>
                <w:rFonts w:ascii="Arial" w:hAnsi="Arial" w:cs="Arial"/>
                <w:b/>
                <w:i/>
              </w:rPr>
              <w:t>Seller to designate milestone dates</w:t>
            </w:r>
            <w:r w:rsidRPr="004A17BB">
              <w:rPr>
                <w:rFonts w:ascii="Arial" w:hAnsi="Arial" w:cs="Arial"/>
              </w:rPr>
              <w:t>]</w:t>
            </w:r>
          </w:p>
          <w:p w14:paraId="7753AF85" w14:textId="77777777" w:rsidR="00084BE6" w:rsidRPr="004A17BB" w:rsidRDefault="00084BE6" w:rsidP="00084BE6">
            <w:pPr>
              <w:jc w:val="both"/>
              <w:rPr>
                <w:rFonts w:ascii="Arial" w:hAnsi="Arial" w:cs="Arial"/>
              </w:rPr>
            </w:pPr>
          </w:p>
          <w:p w14:paraId="608185A3" w14:textId="77777777" w:rsidR="00084BE6" w:rsidRPr="004A17BB" w:rsidRDefault="00C67163" w:rsidP="00084BE6">
            <w:pPr>
              <w:jc w:val="both"/>
              <w:rPr>
                <w:rFonts w:ascii="Arial" w:hAnsi="Arial" w:cs="Arial"/>
              </w:rPr>
            </w:pPr>
            <w:r w:rsidRPr="004A17BB">
              <w:rPr>
                <w:rFonts w:ascii="Arial" w:hAnsi="Arial" w:cs="Arial"/>
              </w:rPr>
              <w:t>(i) Site control:</w:t>
            </w:r>
          </w:p>
          <w:p w14:paraId="63F0B606" w14:textId="77777777" w:rsidR="00084BE6" w:rsidRPr="004A17BB" w:rsidRDefault="00084BE6" w:rsidP="00084BE6">
            <w:pPr>
              <w:jc w:val="both"/>
              <w:rPr>
                <w:rFonts w:ascii="Arial" w:hAnsi="Arial" w:cs="Arial"/>
              </w:rPr>
            </w:pPr>
          </w:p>
          <w:p w14:paraId="2483EF08" w14:textId="77777777" w:rsidR="00084BE6" w:rsidRPr="004A17BB" w:rsidRDefault="00C67163" w:rsidP="00084BE6">
            <w:pPr>
              <w:jc w:val="both"/>
              <w:rPr>
                <w:rFonts w:ascii="Arial" w:hAnsi="Arial" w:cs="Arial"/>
              </w:rPr>
            </w:pPr>
            <w:r w:rsidRPr="004A17BB">
              <w:rPr>
                <w:rFonts w:ascii="Arial" w:hAnsi="Arial" w:cs="Arial"/>
              </w:rPr>
              <w:t>(</w:t>
            </w:r>
            <w:r>
              <w:rPr>
                <w:rFonts w:ascii="Arial" w:hAnsi="Arial" w:cs="Arial"/>
              </w:rPr>
              <w:t>ii</w:t>
            </w:r>
            <w:r w:rsidRPr="004A17BB">
              <w:rPr>
                <w:rFonts w:ascii="Arial" w:hAnsi="Arial" w:cs="Arial"/>
              </w:rPr>
              <w:t>) Execution of interconnection agreement(s):</w:t>
            </w:r>
          </w:p>
          <w:p w14:paraId="7475BA21" w14:textId="77777777" w:rsidR="00084BE6" w:rsidRPr="004A17BB" w:rsidRDefault="00084BE6" w:rsidP="00084BE6">
            <w:pPr>
              <w:jc w:val="both"/>
              <w:rPr>
                <w:rFonts w:ascii="Arial" w:hAnsi="Arial" w:cs="Arial"/>
              </w:rPr>
            </w:pPr>
          </w:p>
          <w:p w14:paraId="637274FA" w14:textId="77777777" w:rsidR="00084BE6" w:rsidRPr="004A17BB" w:rsidRDefault="00C67163" w:rsidP="00084BE6">
            <w:pPr>
              <w:jc w:val="both"/>
              <w:rPr>
                <w:rFonts w:ascii="Arial" w:hAnsi="Arial" w:cs="Arial"/>
              </w:rPr>
            </w:pPr>
            <w:r w:rsidRPr="004A17BB">
              <w:rPr>
                <w:rFonts w:ascii="Arial" w:hAnsi="Arial" w:cs="Arial"/>
              </w:rPr>
              <w:t>(ii</w:t>
            </w:r>
            <w:r>
              <w:rPr>
                <w:rFonts w:ascii="Arial" w:hAnsi="Arial" w:cs="Arial"/>
              </w:rPr>
              <w:t>i</w:t>
            </w:r>
            <w:r w:rsidRPr="004A17BB">
              <w:rPr>
                <w:rFonts w:ascii="Arial" w:hAnsi="Arial" w:cs="Arial"/>
              </w:rPr>
              <w:t>) Commercial Operation Date:</w:t>
            </w:r>
          </w:p>
          <w:p w14:paraId="38FE97BA" w14:textId="77777777" w:rsidR="00084BE6" w:rsidRPr="004A17BB" w:rsidRDefault="00084BE6" w:rsidP="00084BE6">
            <w:pPr>
              <w:jc w:val="both"/>
              <w:rPr>
                <w:rFonts w:ascii="Arial" w:hAnsi="Arial" w:cs="Arial"/>
              </w:rPr>
            </w:pPr>
          </w:p>
          <w:p w14:paraId="1A0F8C8B" w14:textId="28316BD1" w:rsidR="00084BE6" w:rsidRDefault="00C67163" w:rsidP="00084BE6">
            <w:pPr>
              <w:jc w:val="both"/>
              <w:rPr>
                <w:rFonts w:ascii="Arial" w:hAnsi="Arial" w:cs="Arial"/>
              </w:rPr>
            </w:pPr>
            <w:r>
              <w:rPr>
                <w:rFonts w:ascii="Arial" w:hAnsi="Arial" w:cs="Arial"/>
              </w:rPr>
              <w:lastRenderedPageBreak/>
              <w:t>To the extent Seller anticipates it will not be able to achieve any of the Critical Milestones, Seller shall notify Buyer no later than 30 days prior to the applicable date. If Seller anticipates missing Critical Milestones (i) or (ii), it shall prepare and submit for Buyer’s review and approval a remedial action detailing Sellers’ plan to achieve the missed milestone and subsequent milestones. Seller’s failure to achieve Critical Milestone (iii) shall be considered an Event of Default.</w:t>
            </w:r>
          </w:p>
          <w:p w14:paraId="618F7F65" w14:textId="77777777" w:rsidR="00084BE6" w:rsidRPr="004A17BB" w:rsidRDefault="00084BE6" w:rsidP="00084BE6">
            <w:pPr>
              <w:jc w:val="both"/>
              <w:rPr>
                <w:rFonts w:ascii="Arial" w:hAnsi="Arial" w:cs="Arial"/>
              </w:rPr>
            </w:pPr>
          </w:p>
        </w:tc>
      </w:tr>
      <w:tr w:rsidR="004D7834" w14:paraId="0A2FFE9C" w14:textId="77777777" w:rsidTr="00084BE6">
        <w:tc>
          <w:tcPr>
            <w:tcW w:w="900" w:type="dxa"/>
          </w:tcPr>
          <w:p w14:paraId="02F44608"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702F5341" w14:textId="77777777" w:rsidR="00084BE6" w:rsidRPr="004A17BB" w:rsidRDefault="00C67163">
            <w:pPr>
              <w:rPr>
                <w:rFonts w:ascii="Arial" w:hAnsi="Arial" w:cs="Arial"/>
              </w:rPr>
            </w:pPr>
            <w:r w:rsidRPr="004A17BB">
              <w:rPr>
                <w:rFonts w:ascii="Arial" w:hAnsi="Arial" w:cs="Arial"/>
              </w:rPr>
              <w:t>Measurement and Verification</w:t>
            </w:r>
          </w:p>
        </w:tc>
        <w:tc>
          <w:tcPr>
            <w:tcW w:w="7020" w:type="dxa"/>
          </w:tcPr>
          <w:p w14:paraId="6299E737" w14:textId="77777777" w:rsidR="00084BE6" w:rsidRPr="004A17BB" w:rsidRDefault="00C67163" w:rsidP="00084BE6">
            <w:pPr>
              <w:jc w:val="both"/>
              <w:rPr>
                <w:rFonts w:ascii="Arial" w:hAnsi="Arial" w:cs="Arial"/>
              </w:rPr>
            </w:pPr>
            <w:r w:rsidRPr="004A17BB">
              <w:rPr>
                <w:rFonts w:ascii="Arial" w:hAnsi="Arial" w:cs="Arial"/>
              </w:rPr>
              <w:t>The amount of Product the Project delivers will be measured based on the Project’s technology, and will include for:</w:t>
            </w:r>
          </w:p>
          <w:p w14:paraId="45480A76" w14:textId="77777777" w:rsidR="00084BE6" w:rsidRPr="004A17BB" w:rsidRDefault="00C67163" w:rsidP="00084BE6">
            <w:pPr>
              <w:jc w:val="both"/>
              <w:rPr>
                <w:rFonts w:ascii="Arial" w:hAnsi="Arial" w:cs="Arial"/>
              </w:rPr>
            </w:pPr>
            <w:r w:rsidRPr="004A17BB">
              <w:rPr>
                <w:rFonts w:ascii="Arial" w:hAnsi="Arial" w:cs="Arial"/>
              </w:rPr>
              <w:t>[</w:t>
            </w:r>
            <w:r w:rsidRPr="004A17BB">
              <w:rPr>
                <w:rFonts w:ascii="Arial" w:hAnsi="Arial" w:cs="Arial"/>
                <w:b/>
                <w:i/>
              </w:rPr>
              <w:t>Seller to designate</w:t>
            </w:r>
            <w:r w:rsidRPr="004A17BB">
              <w:rPr>
                <w:rFonts w:ascii="Arial" w:hAnsi="Arial" w:cs="Arial"/>
              </w:rPr>
              <w:t>]</w:t>
            </w:r>
          </w:p>
          <w:p w14:paraId="77C636C4" w14:textId="77777777" w:rsidR="00084BE6" w:rsidRPr="004A17BB" w:rsidRDefault="00084BE6" w:rsidP="00084BE6">
            <w:pPr>
              <w:jc w:val="both"/>
              <w:rPr>
                <w:rFonts w:ascii="Arial" w:hAnsi="Arial" w:cs="Arial"/>
              </w:rPr>
            </w:pPr>
          </w:p>
        </w:tc>
      </w:tr>
      <w:tr w:rsidR="004D7834" w14:paraId="2FBA2D30" w14:textId="77777777" w:rsidTr="00084BE6">
        <w:tc>
          <w:tcPr>
            <w:tcW w:w="900" w:type="dxa"/>
          </w:tcPr>
          <w:p w14:paraId="6E474E75"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4099C9A7" w14:textId="77777777" w:rsidR="00084BE6" w:rsidRPr="004A17BB" w:rsidRDefault="00C67163">
            <w:pPr>
              <w:rPr>
                <w:rFonts w:ascii="Arial" w:hAnsi="Arial" w:cs="Arial"/>
              </w:rPr>
            </w:pPr>
            <w:r w:rsidRPr="004A17BB">
              <w:rPr>
                <w:rFonts w:ascii="Arial" w:hAnsi="Arial" w:cs="Arial"/>
              </w:rPr>
              <w:t>Seller Performance Assurance</w:t>
            </w:r>
          </w:p>
        </w:tc>
        <w:tc>
          <w:tcPr>
            <w:tcW w:w="7020" w:type="dxa"/>
          </w:tcPr>
          <w:p w14:paraId="65FF22C9" w14:textId="2E900AA9" w:rsidR="003436F7" w:rsidRDefault="00C67163" w:rsidP="00084BE6">
            <w:pPr>
              <w:pStyle w:val="ESAParai"/>
              <w:ind w:firstLine="0"/>
              <w:jc w:val="both"/>
              <w:rPr>
                <w:rFonts w:ascii="Arial" w:eastAsiaTheme="minorHAnsi" w:hAnsi="Arial" w:cs="Arial"/>
              </w:rPr>
            </w:pPr>
            <w:r w:rsidRPr="004A17BB">
              <w:rPr>
                <w:rFonts w:ascii="Arial" w:eastAsiaTheme="minorHAnsi" w:hAnsi="Arial" w:cs="Arial"/>
              </w:rPr>
              <w:t xml:space="preserve">Seller shall deliver to Buyer and maintain Performance Assurance </w:t>
            </w:r>
            <w:r w:rsidR="00990B3F">
              <w:rPr>
                <w:rFonts w:ascii="Arial" w:eastAsiaTheme="minorHAnsi" w:hAnsi="Arial" w:cs="Arial"/>
              </w:rPr>
              <w:t>in the form of cash or letter of credit</w:t>
            </w:r>
            <w:r w:rsidRPr="004A17BB">
              <w:rPr>
                <w:rFonts w:ascii="Arial" w:eastAsiaTheme="minorHAnsi" w:hAnsi="Arial" w:cs="Arial"/>
              </w:rPr>
              <w:t xml:space="preserve"> acceptable to Buyer to secure its obligations under the </w:t>
            </w:r>
            <w:r>
              <w:rPr>
                <w:rFonts w:ascii="Arial" w:eastAsiaTheme="minorHAnsi" w:hAnsi="Arial" w:cs="Arial"/>
              </w:rPr>
              <w:t>A</w:t>
            </w:r>
            <w:r w:rsidRPr="004A17BB">
              <w:rPr>
                <w:rFonts w:ascii="Arial" w:eastAsiaTheme="minorHAnsi" w:hAnsi="Arial" w:cs="Arial"/>
              </w:rPr>
              <w:t>greement</w:t>
            </w:r>
            <w:r>
              <w:rPr>
                <w:rFonts w:ascii="Arial" w:eastAsiaTheme="minorHAnsi" w:hAnsi="Arial" w:cs="Arial"/>
              </w:rPr>
              <w:t>, which shall include both Project Development Security and Delivery Term Security</w:t>
            </w:r>
            <w:r w:rsidR="003436F7">
              <w:rPr>
                <w:rFonts w:ascii="Arial" w:eastAsiaTheme="minorHAnsi" w:hAnsi="Arial" w:cs="Arial"/>
              </w:rPr>
              <w:t xml:space="preserve"> in the amounts below:</w:t>
            </w:r>
            <w:r>
              <w:rPr>
                <w:rFonts w:ascii="Arial" w:eastAsiaTheme="minorHAnsi" w:hAnsi="Arial" w:cs="Arial"/>
              </w:rPr>
              <w:t xml:space="preserve"> </w:t>
            </w:r>
          </w:p>
          <w:p w14:paraId="7B151DB8" w14:textId="069F28A9" w:rsidR="003436F7" w:rsidRDefault="003436F7" w:rsidP="00990B3F">
            <w:pPr>
              <w:jc w:val="both"/>
              <w:rPr>
                <w:rFonts w:ascii="Arial" w:hAnsi="Arial" w:cs="Arial"/>
              </w:rPr>
            </w:pPr>
            <w:r>
              <w:rPr>
                <w:rFonts w:ascii="Arial" w:hAnsi="Arial" w:cs="Arial"/>
              </w:rPr>
              <w:t>Project Development Security: $</w:t>
            </w:r>
            <w:r w:rsidR="00990B3F">
              <w:rPr>
                <w:rFonts w:ascii="Arial" w:hAnsi="Arial" w:cs="Arial"/>
              </w:rPr>
              <w:t>40/kw</w:t>
            </w:r>
          </w:p>
          <w:p w14:paraId="0E3DD760" w14:textId="77777777" w:rsidR="00990B3F" w:rsidRDefault="00990B3F" w:rsidP="00990B3F">
            <w:pPr>
              <w:jc w:val="both"/>
              <w:rPr>
                <w:rFonts w:ascii="Arial" w:hAnsi="Arial" w:cs="Arial"/>
              </w:rPr>
            </w:pPr>
          </w:p>
          <w:p w14:paraId="1823C7F1" w14:textId="18DD68B7" w:rsidR="00084BE6" w:rsidRPr="003A2DA8" w:rsidRDefault="003436F7" w:rsidP="003436F7">
            <w:pPr>
              <w:pStyle w:val="ESAParai"/>
              <w:ind w:firstLine="0"/>
              <w:jc w:val="both"/>
            </w:pPr>
            <w:r>
              <w:rPr>
                <w:rFonts w:ascii="Arial" w:eastAsiaTheme="minorHAnsi" w:hAnsi="Arial" w:cs="Arial"/>
              </w:rPr>
              <w:t>Delivery Term Security: $</w:t>
            </w:r>
            <w:r w:rsidR="00990B3F">
              <w:rPr>
                <w:rFonts w:ascii="Arial" w:hAnsi="Arial" w:cs="Arial"/>
              </w:rPr>
              <w:t>40/kw</w:t>
            </w:r>
          </w:p>
        </w:tc>
      </w:tr>
      <w:tr w:rsidR="004D7834" w14:paraId="48AE6C19" w14:textId="77777777" w:rsidTr="00084BE6">
        <w:tc>
          <w:tcPr>
            <w:tcW w:w="900" w:type="dxa"/>
          </w:tcPr>
          <w:p w14:paraId="14644C9A"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66DB7254" w14:textId="77777777" w:rsidR="00084BE6" w:rsidRPr="004A17BB" w:rsidRDefault="00C67163">
            <w:pPr>
              <w:rPr>
                <w:rFonts w:ascii="Arial" w:hAnsi="Arial" w:cs="Arial"/>
              </w:rPr>
            </w:pPr>
            <w:r w:rsidRPr="004A17BB">
              <w:rPr>
                <w:rFonts w:ascii="Arial" w:hAnsi="Arial" w:cs="Arial"/>
              </w:rPr>
              <w:t>Events of Default</w:t>
            </w:r>
          </w:p>
        </w:tc>
        <w:tc>
          <w:tcPr>
            <w:tcW w:w="7020" w:type="dxa"/>
          </w:tcPr>
          <w:p w14:paraId="0BBDFE2D" w14:textId="77777777" w:rsidR="00084BE6" w:rsidRPr="00A00D3E" w:rsidRDefault="00C67163" w:rsidP="00084BE6">
            <w:pPr>
              <w:jc w:val="both"/>
              <w:rPr>
                <w:rFonts w:ascii="Arial" w:eastAsia="Calibri" w:hAnsi="Arial" w:cs="Arial"/>
              </w:rPr>
            </w:pPr>
            <w:r w:rsidRPr="00A00D3E">
              <w:rPr>
                <w:rFonts w:ascii="Arial" w:eastAsia="Calibri" w:hAnsi="Arial" w:cs="Arial"/>
              </w:rPr>
              <w:t>Agreement will include customary Events of Default, including but not limited to the following:</w:t>
            </w:r>
          </w:p>
          <w:p w14:paraId="12CCA8EA" w14:textId="77777777" w:rsidR="00084BE6" w:rsidRDefault="00084BE6" w:rsidP="00084BE6">
            <w:pPr>
              <w:jc w:val="both"/>
              <w:rPr>
                <w:rFonts w:ascii="Arial" w:eastAsia="Calibri" w:hAnsi="Arial" w:cs="Arial"/>
                <w:highlight w:val="yellow"/>
              </w:rPr>
            </w:pPr>
          </w:p>
          <w:p w14:paraId="5078E50F" w14:textId="77777777" w:rsidR="00084BE6" w:rsidRPr="004A17BB" w:rsidRDefault="00C67163" w:rsidP="00084BE6">
            <w:pPr>
              <w:ind w:left="882" w:hanging="540"/>
              <w:jc w:val="both"/>
              <w:rPr>
                <w:rFonts w:ascii="Arial" w:hAnsi="Arial" w:cs="Arial"/>
              </w:rPr>
            </w:pPr>
            <w:r w:rsidRPr="004A17BB">
              <w:rPr>
                <w:rFonts w:ascii="Arial" w:hAnsi="Arial" w:cs="Arial"/>
              </w:rPr>
              <w:t xml:space="preserve">(i) </w:t>
            </w:r>
            <w:r>
              <w:rPr>
                <w:rFonts w:ascii="Arial" w:hAnsi="Arial" w:cs="Arial"/>
              </w:rPr>
              <w:t xml:space="preserve">  </w:t>
            </w:r>
            <w:r w:rsidRPr="004A17BB">
              <w:rPr>
                <w:rFonts w:ascii="Arial" w:hAnsi="Arial" w:cs="Arial"/>
              </w:rPr>
              <w:t xml:space="preserve">Failure to meet </w:t>
            </w:r>
            <w:r>
              <w:rPr>
                <w:rFonts w:ascii="Arial" w:hAnsi="Arial" w:cs="Arial"/>
              </w:rPr>
              <w:t>the Commercial Operation Date;</w:t>
            </w:r>
          </w:p>
          <w:p w14:paraId="48F8584D" w14:textId="77777777" w:rsidR="00084BE6" w:rsidRDefault="00C67163" w:rsidP="00084BE6">
            <w:pPr>
              <w:ind w:left="882" w:hanging="540"/>
              <w:jc w:val="both"/>
              <w:rPr>
                <w:rFonts w:ascii="Arial" w:hAnsi="Arial" w:cs="Arial"/>
              </w:rPr>
            </w:pPr>
            <w:r w:rsidRPr="004A17BB">
              <w:rPr>
                <w:rFonts w:ascii="Arial" w:hAnsi="Arial" w:cs="Arial"/>
              </w:rPr>
              <w:t xml:space="preserve">(ii) </w:t>
            </w:r>
            <w:r>
              <w:rPr>
                <w:rFonts w:ascii="Arial" w:hAnsi="Arial" w:cs="Arial"/>
              </w:rPr>
              <w:t xml:space="preserve">  </w:t>
            </w:r>
            <w:r w:rsidRPr="004A17BB">
              <w:rPr>
                <w:rFonts w:ascii="Arial" w:hAnsi="Arial" w:cs="Arial"/>
              </w:rPr>
              <w:t xml:space="preserve">Failure to meet </w:t>
            </w:r>
            <w:r>
              <w:rPr>
                <w:rFonts w:ascii="Arial" w:hAnsi="Arial" w:cs="Arial"/>
              </w:rPr>
              <w:t xml:space="preserve">the </w:t>
            </w:r>
            <w:r w:rsidRPr="004A17BB">
              <w:rPr>
                <w:rFonts w:ascii="Arial" w:hAnsi="Arial" w:cs="Arial"/>
              </w:rPr>
              <w:t>Initial Delivery Date</w:t>
            </w:r>
            <w:r>
              <w:rPr>
                <w:rFonts w:ascii="Arial" w:hAnsi="Arial" w:cs="Arial"/>
              </w:rPr>
              <w:t>;</w:t>
            </w:r>
          </w:p>
          <w:p w14:paraId="7A60525E" w14:textId="300D1C40" w:rsidR="00084BE6" w:rsidRDefault="00C67163" w:rsidP="00084BE6">
            <w:pPr>
              <w:ind w:left="882" w:hanging="540"/>
              <w:jc w:val="both"/>
              <w:rPr>
                <w:rFonts w:ascii="Arial" w:hAnsi="Arial" w:cs="Arial"/>
              </w:rPr>
            </w:pPr>
            <w:r>
              <w:rPr>
                <w:rFonts w:ascii="Arial" w:hAnsi="Arial" w:cs="Arial"/>
              </w:rPr>
              <w:t>(iii)  Failure to meet minimum energy delivery quantities</w:t>
            </w:r>
            <w:r w:rsidR="000D2204">
              <w:rPr>
                <w:rFonts w:ascii="Arial" w:hAnsi="Arial" w:cs="Arial"/>
              </w:rPr>
              <w:t xml:space="preserve"> over two consecutive contract years</w:t>
            </w:r>
            <w:r w:rsidR="00F239C4">
              <w:rPr>
                <w:rFonts w:ascii="Arial" w:hAnsi="Arial" w:cs="Arial"/>
              </w:rPr>
              <w:t xml:space="preserve"> (for RPS Energy Products) or failure to meet minimum capacity quantities over two consecutive contract years (for </w:t>
            </w:r>
            <w:r w:rsidR="003A2DA8">
              <w:rPr>
                <w:rFonts w:ascii="Arial" w:hAnsi="Arial" w:cs="Arial"/>
              </w:rPr>
              <w:t>bundled p</w:t>
            </w:r>
            <w:r w:rsidR="00F239C4">
              <w:rPr>
                <w:rFonts w:ascii="Arial" w:hAnsi="Arial" w:cs="Arial"/>
              </w:rPr>
              <w:t>roducts</w:t>
            </w:r>
            <w:r w:rsidR="003A2DA8">
              <w:rPr>
                <w:rFonts w:ascii="Arial" w:hAnsi="Arial" w:cs="Arial"/>
              </w:rPr>
              <w:t xml:space="preserve"> that include Capacity or Capacity Only products</w:t>
            </w:r>
            <w:r w:rsidR="00F239C4">
              <w:rPr>
                <w:rFonts w:ascii="Arial" w:hAnsi="Arial" w:cs="Arial"/>
              </w:rPr>
              <w:t>);</w:t>
            </w:r>
          </w:p>
          <w:p w14:paraId="5C44DC87" w14:textId="77777777" w:rsidR="00084BE6" w:rsidRDefault="00C67163" w:rsidP="00084BE6">
            <w:pPr>
              <w:ind w:left="882" w:hanging="540"/>
              <w:jc w:val="both"/>
              <w:rPr>
                <w:rFonts w:ascii="Arial" w:hAnsi="Arial" w:cs="Arial"/>
              </w:rPr>
            </w:pPr>
            <w:r>
              <w:rPr>
                <w:rFonts w:ascii="Arial" w:hAnsi="Arial" w:cs="Arial"/>
              </w:rPr>
              <w:t>(iv) Failure to make any required payment if failure is not remedied in a short time period;</w:t>
            </w:r>
          </w:p>
          <w:p w14:paraId="58CD14F6" w14:textId="77777777" w:rsidR="00084BE6" w:rsidRDefault="00C67163" w:rsidP="00084BE6">
            <w:pPr>
              <w:ind w:left="882" w:hanging="540"/>
              <w:jc w:val="both"/>
              <w:rPr>
                <w:rFonts w:ascii="Arial" w:hAnsi="Arial" w:cs="Arial"/>
              </w:rPr>
            </w:pPr>
            <w:r>
              <w:rPr>
                <w:rFonts w:ascii="Arial" w:hAnsi="Arial" w:cs="Arial"/>
              </w:rPr>
              <w:t>(v)   Failure to meet creditworthiness/collateral requirements;</w:t>
            </w:r>
          </w:p>
          <w:p w14:paraId="4EAA0D1D" w14:textId="77777777" w:rsidR="00084BE6" w:rsidRDefault="00C67163" w:rsidP="00084BE6">
            <w:pPr>
              <w:ind w:left="882" w:hanging="540"/>
              <w:jc w:val="both"/>
              <w:rPr>
                <w:rFonts w:ascii="Arial" w:hAnsi="Arial" w:cs="Arial"/>
              </w:rPr>
            </w:pPr>
            <w:r>
              <w:rPr>
                <w:rFonts w:ascii="Arial" w:hAnsi="Arial" w:cs="Arial"/>
              </w:rPr>
              <w:t xml:space="preserve">(vi)  Any false representation or warranty made by a Party; or </w:t>
            </w:r>
          </w:p>
          <w:p w14:paraId="6CC5F304" w14:textId="77777777" w:rsidR="00084BE6" w:rsidRPr="004A17BB" w:rsidRDefault="00C67163" w:rsidP="00084BE6">
            <w:pPr>
              <w:ind w:left="882" w:hanging="540"/>
              <w:jc w:val="both"/>
              <w:rPr>
                <w:rFonts w:ascii="Arial" w:hAnsi="Arial" w:cs="Arial"/>
              </w:rPr>
            </w:pPr>
            <w:r>
              <w:rPr>
                <w:rFonts w:ascii="Arial" w:hAnsi="Arial" w:cs="Arial"/>
              </w:rPr>
              <w:t>(vii) Failure to perform any material covenant or obligation.</w:t>
            </w:r>
          </w:p>
          <w:p w14:paraId="0108C65C" w14:textId="77777777" w:rsidR="00084BE6" w:rsidRPr="004A17BB" w:rsidRDefault="00C67163" w:rsidP="00084BE6">
            <w:pPr>
              <w:jc w:val="both"/>
              <w:rPr>
                <w:rFonts w:ascii="Arial" w:hAnsi="Arial" w:cs="Arial"/>
              </w:rPr>
            </w:pPr>
            <w:r w:rsidRPr="004A17BB">
              <w:rPr>
                <w:rFonts w:ascii="Arial" w:hAnsi="Arial" w:cs="Arial"/>
              </w:rPr>
              <w:t xml:space="preserve"> </w:t>
            </w:r>
          </w:p>
        </w:tc>
      </w:tr>
      <w:tr w:rsidR="004D7834" w14:paraId="4F4117B1" w14:textId="77777777" w:rsidTr="00084BE6">
        <w:tc>
          <w:tcPr>
            <w:tcW w:w="900" w:type="dxa"/>
          </w:tcPr>
          <w:p w14:paraId="6675C928"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4FB2F32C" w14:textId="77777777" w:rsidR="00084BE6" w:rsidRPr="004A17BB" w:rsidRDefault="00C67163" w:rsidP="00084BE6">
            <w:pPr>
              <w:rPr>
                <w:rFonts w:ascii="Arial" w:hAnsi="Arial" w:cs="Arial"/>
              </w:rPr>
            </w:pPr>
            <w:r w:rsidRPr="004A17BB">
              <w:rPr>
                <w:rFonts w:ascii="Arial" w:hAnsi="Arial" w:cs="Arial"/>
              </w:rPr>
              <w:t>Force Majeure</w:t>
            </w:r>
          </w:p>
        </w:tc>
        <w:tc>
          <w:tcPr>
            <w:tcW w:w="7020" w:type="dxa"/>
          </w:tcPr>
          <w:p w14:paraId="1F27D18D" w14:textId="77777777" w:rsidR="00084BE6" w:rsidRDefault="00C67163" w:rsidP="00084BE6">
            <w:pPr>
              <w:jc w:val="both"/>
              <w:rPr>
                <w:rFonts w:ascii="Arial" w:hAnsi="Arial" w:cs="Arial"/>
              </w:rPr>
            </w:pPr>
            <w:r w:rsidRPr="006955F1">
              <w:rPr>
                <w:rFonts w:ascii="Arial" w:hAnsi="Arial" w:cs="Arial"/>
              </w:rPr>
              <w:t>“Force Majeure” means any event or circumstance which wholly or partly prevents or delays the performance of any materi</w:t>
            </w:r>
            <w:r>
              <w:rPr>
                <w:rFonts w:ascii="Arial" w:hAnsi="Arial" w:cs="Arial"/>
              </w:rPr>
              <w:t>al obligation arising under the</w:t>
            </w:r>
            <w:r w:rsidRPr="006955F1">
              <w:rPr>
                <w:rFonts w:ascii="Arial" w:hAnsi="Arial" w:cs="Arial"/>
              </w:rPr>
              <w:t xml:space="preserve"> Agreement, but only if and to the extent (i) such event is not within the reasonable control, directly or indirectly, of the Party seeking to have its performance obligat</w:t>
            </w:r>
            <w:r>
              <w:rPr>
                <w:rFonts w:ascii="Arial" w:hAnsi="Arial" w:cs="Arial"/>
              </w:rPr>
              <w:t>ion</w:t>
            </w:r>
            <w:r w:rsidRPr="006955F1">
              <w:rPr>
                <w:rFonts w:ascii="Arial" w:hAnsi="Arial" w:cs="Arial"/>
              </w:rPr>
              <w:t xml:space="preserve"> excused thereby, (ii) the Party seeking to </w:t>
            </w:r>
            <w:r>
              <w:rPr>
                <w:rFonts w:ascii="Arial" w:hAnsi="Arial" w:cs="Arial"/>
              </w:rPr>
              <w:t>have its performance obligation</w:t>
            </w:r>
            <w:r w:rsidRPr="006955F1">
              <w:rPr>
                <w:rFonts w:ascii="Arial" w:hAnsi="Arial" w:cs="Arial"/>
              </w:rPr>
              <w:t xml:space="preserve"> excused thereby has taken all reasonable precautions and measures in order to prevent or avoid such event or mitigate the effect of such event on such Party’s ability to pe</w:t>
            </w:r>
            <w:r>
              <w:rPr>
                <w:rFonts w:ascii="Arial" w:hAnsi="Arial" w:cs="Arial"/>
              </w:rPr>
              <w:t>rform its obligations under the</w:t>
            </w:r>
            <w:r w:rsidRPr="006955F1">
              <w:rPr>
                <w:rFonts w:ascii="Arial" w:hAnsi="Arial" w:cs="Arial"/>
              </w:rPr>
              <w:t xml:space="preserve"> Agreement and which by the exercise of due diligence such Party could not reasonably have been expected to avoid and which by the exercise of due diligence it has been unable to overcome, and (iii) such event is not the direct or </w:t>
            </w:r>
            <w:r w:rsidRPr="006955F1">
              <w:rPr>
                <w:rFonts w:ascii="Arial" w:hAnsi="Arial" w:cs="Arial"/>
              </w:rPr>
              <w:lastRenderedPageBreak/>
              <w:t xml:space="preserve">indirect result of the negligence or the failure of, or caused by, the Party seeking to have its performance obligations excused thereby. </w:t>
            </w:r>
          </w:p>
          <w:p w14:paraId="559EDDA5" w14:textId="77777777" w:rsidR="00084BE6" w:rsidRDefault="00084BE6" w:rsidP="00084BE6">
            <w:pPr>
              <w:jc w:val="both"/>
              <w:rPr>
                <w:rFonts w:ascii="Arial" w:hAnsi="Arial" w:cs="Arial"/>
              </w:rPr>
            </w:pPr>
          </w:p>
          <w:p w14:paraId="4AA9F176" w14:textId="77777777" w:rsidR="00084BE6" w:rsidRDefault="00C67163" w:rsidP="00084BE6">
            <w:pPr>
              <w:jc w:val="both"/>
              <w:rPr>
                <w:rFonts w:ascii="Arial" w:hAnsi="Arial" w:cs="Arial"/>
              </w:rPr>
            </w:pPr>
            <w:r>
              <w:rPr>
                <w:rFonts w:ascii="Arial" w:hAnsi="Arial" w:cs="Arial"/>
              </w:rPr>
              <w:t>Buyer shall have the right, but not the obligation, to terminate the Agreement to the extent a Force Majeure event prevent Seller from meeting its obligation under the Agreement for a period longer than six (6) months.</w:t>
            </w:r>
          </w:p>
          <w:p w14:paraId="74A112A2" w14:textId="77777777" w:rsidR="00084BE6" w:rsidRDefault="00084BE6" w:rsidP="00084BE6">
            <w:pPr>
              <w:jc w:val="both"/>
              <w:rPr>
                <w:rFonts w:ascii="Arial" w:hAnsi="Arial" w:cs="Arial"/>
              </w:rPr>
            </w:pPr>
          </w:p>
          <w:p w14:paraId="6254B7BA" w14:textId="77777777" w:rsidR="00084BE6" w:rsidRPr="004A17BB" w:rsidRDefault="00C67163" w:rsidP="00084BE6">
            <w:pPr>
              <w:jc w:val="both"/>
              <w:rPr>
                <w:rFonts w:ascii="Arial" w:hAnsi="Arial" w:cs="Arial"/>
              </w:rPr>
            </w:pPr>
            <w:r>
              <w:rPr>
                <w:rFonts w:ascii="Arial" w:hAnsi="Arial" w:cs="Arial"/>
              </w:rPr>
              <w:t>I</w:t>
            </w:r>
            <w:r w:rsidRPr="004A17BB">
              <w:rPr>
                <w:rFonts w:ascii="Arial" w:hAnsi="Arial" w:cs="Arial"/>
              </w:rPr>
              <w:t xml:space="preserve">nability to obtain or retain the Site and/or Customers </w:t>
            </w:r>
            <w:r>
              <w:rPr>
                <w:rFonts w:ascii="Arial" w:hAnsi="Arial" w:cs="Arial"/>
              </w:rPr>
              <w:t xml:space="preserve">shall </w:t>
            </w:r>
            <w:r w:rsidRPr="004A17BB">
              <w:rPr>
                <w:rFonts w:ascii="Arial" w:hAnsi="Arial" w:cs="Arial"/>
              </w:rPr>
              <w:t xml:space="preserve">not </w:t>
            </w:r>
            <w:r>
              <w:rPr>
                <w:rFonts w:ascii="Arial" w:hAnsi="Arial" w:cs="Arial"/>
              </w:rPr>
              <w:t xml:space="preserve">constitute </w:t>
            </w:r>
            <w:r w:rsidRPr="004A17BB">
              <w:rPr>
                <w:rFonts w:ascii="Arial" w:hAnsi="Arial" w:cs="Arial"/>
              </w:rPr>
              <w:t>a</w:t>
            </w:r>
            <w:r>
              <w:rPr>
                <w:rFonts w:ascii="Arial" w:hAnsi="Arial" w:cs="Arial"/>
              </w:rPr>
              <w:t xml:space="preserve"> Force Majeure</w:t>
            </w:r>
            <w:r w:rsidRPr="004A17BB">
              <w:rPr>
                <w:rFonts w:ascii="Arial" w:hAnsi="Arial" w:cs="Arial"/>
              </w:rPr>
              <w:t xml:space="preserve"> event.</w:t>
            </w:r>
          </w:p>
          <w:p w14:paraId="6719438B" w14:textId="77777777" w:rsidR="00084BE6" w:rsidRPr="004A17BB" w:rsidRDefault="00084BE6" w:rsidP="00084BE6">
            <w:pPr>
              <w:jc w:val="both"/>
              <w:rPr>
                <w:rFonts w:ascii="Arial" w:hAnsi="Arial" w:cs="Arial"/>
              </w:rPr>
            </w:pPr>
          </w:p>
        </w:tc>
      </w:tr>
      <w:tr w:rsidR="004D7834" w14:paraId="3CCB15B3" w14:textId="77777777" w:rsidTr="00084BE6">
        <w:tc>
          <w:tcPr>
            <w:tcW w:w="900" w:type="dxa"/>
          </w:tcPr>
          <w:p w14:paraId="0F36C63C"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435F929C" w14:textId="77777777" w:rsidR="00084BE6" w:rsidRPr="004A17BB" w:rsidRDefault="00C67163" w:rsidP="00084BE6">
            <w:pPr>
              <w:rPr>
                <w:rFonts w:ascii="Arial" w:hAnsi="Arial" w:cs="Arial"/>
              </w:rPr>
            </w:pPr>
            <w:r w:rsidRPr="004A17BB">
              <w:rPr>
                <w:rFonts w:ascii="Arial" w:hAnsi="Arial" w:cs="Arial"/>
              </w:rPr>
              <w:t>Termination Payment</w:t>
            </w:r>
          </w:p>
        </w:tc>
        <w:tc>
          <w:tcPr>
            <w:tcW w:w="7020" w:type="dxa"/>
          </w:tcPr>
          <w:p w14:paraId="3B3D6150" w14:textId="064AD72C" w:rsidR="00084BE6" w:rsidRPr="004A17BB" w:rsidRDefault="00C67163" w:rsidP="003A2DA8">
            <w:pPr>
              <w:jc w:val="both"/>
              <w:rPr>
                <w:rFonts w:ascii="Arial" w:hAnsi="Arial" w:cs="Arial"/>
              </w:rPr>
            </w:pPr>
            <w:r w:rsidRPr="004A17BB">
              <w:rPr>
                <w:rFonts w:ascii="Arial" w:hAnsi="Arial" w:cs="Arial"/>
              </w:rPr>
              <w:t>In an Event of Default, the Non-Defaulting Party has the right to terminate this agreement, whereby the Defaulting Party will owe the Non-Defaulting Party a Termination Payment.  The Termination Payment will be equal to the Project Development Security if such termination occurs prior to the Initial Delivery Date and equal to the Delivery Term Security if such termination occurs after the Initial Delivery Date.</w:t>
            </w:r>
            <w:r>
              <w:rPr>
                <w:rFonts w:ascii="Arial" w:hAnsi="Arial" w:cs="Arial"/>
              </w:rPr>
              <w:t xml:space="preserve"> </w:t>
            </w:r>
          </w:p>
        </w:tc>
      </w:tr>
      <w:tr w:rsidR="004D7834" w14:paraId="2E95B025" w14:textId="77777777" w:rsidTr="00084BE6">
        <w:tc>
          <w:tcPr>
            <w:tcW w:w="900" w:type="dxa"/>
          </w:tcPr>
          <w:p w14:paraId="560C537C"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31EBA59F" w14:textId="77777777" w:rsidR="00084BE6" w:rsidRPr="004A17BB" w:rsidRDefault="00C67163">
            <w:pPr>
              <w:rPr>
                <w:rFonts w:ascii="Arial" w:hAnsi="Arial" w:cs="Arial"/>
              </w:rPr>
            </w:pPr>
            <w:r>
              <w:rPr>
                <w:rFonts w:ascii="Arial" w:hAnsi="Arial" w:cs="Arial"/>
              </w:rPr>
              <w:t>Prevailing Wages</w:t>
            </w:r>
          </w:p>
        </w:tc>
        <w:tc>
          <w:tcPr>
            <w:tcW w:w="7020" w:type="dxa"/>
          </w:tcPr>
          <w:p w14:paraId="383D9BFB" w14:textId="77777777" w:rsidR="00084BE6" w:rsidRPr="004A17BB" w:rsidRDefault="00C67163" w:rsidP="00084BE6">
            <w:pPr>
              <w:pStyle w:val="ESAParai"/>
              <w:ind w:firstLine="0"/>
              <w:jc w:val="both"/>
              <w:rPr>
                <w:rFonts w:ascii="Arial" w:hAnsi="Arial" w:cs="Arial"/>
              </w:rPr>
            </w:pPr>
            <w:r w:rsidRPr="00A82D3C">
              <w:rPr>
                <w:rFonts w:ascii="Arial" w:hAnsi="Arial" w:cs="Arial"/>
              </w:rPr>
              <w:t xml:space="preserve">It is </w:t>
            </w:r>
            <w:r>
              <w:rPr>
                <w:rFonts w:ascii="Arial" w:hAnsi="Arial" w:cs="Arial"/>
              </w:rPr>
              <w:t xml:space="preserve">Buyer’s </w:t>
            </w:r>
            <w:r w:rsidRPr="00A82D3C">
              <w:rPr>
                <w:rFonts w:ascii="Arial" w:hAnsi="Arial" w:cs="Arial"/>
              </w:rPr>
              <w:t xml:space="preserve">intent that wages paid for all work performed as a result of </w:t>
            </w:r>
            <w:r>
              <w:rPr>
                <w:rFonts w:ascii="Arial" w:hAnsi="Arial" w:cs="Arial"/>
              </w:rPr>
              <w:t>the Project</w:t>
            </w:r>
            <w:r w:rsidRPr="00A82D3C">
              <w:rPr>
                <w:rFonts w:ascii="Arial" w:hAnsi="Arial" w:cs="Arial"/>
              </w:rPr>
              <w:t xml:space="preserve"> meet or exceed prevailing wage</w:t>
            </w:r>
            <w:r>
              <w:rPr>
                <w:rFonts w:ascii="Arial" w:hAnsi="Arial" w:cs="Arial"/>
              </w:rPr>
              <w:t xml:space="preserve">s as described in this section: </w:t>
            </w:r>
            <w:r w:rsidRPr="00A82D3C">
              <w:rPr>
                <w:rFonts w:ascii="Arial" w:hAnsi="Arial" w:cs="Arial"/>
              </w:rPr>
              <w:t xml:space="preserve">all executed contracts resulting from this </w:t>
            </w:r>
            <w:r>
              <w:rPr>
                <w:rFonts w:ascii="Arial" w:hAnsi="Arial" w:cs="Arial"/>
              </w:rPr>
              <w:t>Project</w:t>
            </w:r>
            <w:r w:rsidRPr="00A82D3C">
              <w:rPr>
                <w:rFonts w:ascii="Arial" w:hAnsi="Arial" w:cs="Arial"/>
              </w:rPr>
              <w:t xml:space="preserve"> shall include prevailing wage provisions mandating that all workers em</w:t>
            </w:r>
            <w:r>
              <w:rPr>
                <w:rFonts w:ascii="Arial" w:hAnsi="Arial" w:cs="Arial"/>
              </w:rPr>
              <w:t>ployed on or in support of the P</w:t>
            </w:r>
            <w:r w:rsidRPr="00A82D3C">
              <w:rPr>
                <w:rFonts w:ascii="Arial" w:hAnsi="Arial" w:cs="Arial"/>
              </w:rPr>
              <w:t xml:space="preserve">roject(s) by the </w:t>
            </w:r>
            <w:r>
              <w:rPr>
                <w:rFonts w:ascii="Arial" w:hAnsi="Arial" w:cs="Arial"/>
              </w:rPr>
              <w:t>Seller</w:t>
            </w:r>
            <w:r w:rsidRPr="00A82D3C">
              <w:rPr>
                <w:rFonts w:ascii="Arial" w:hAnsi="Arial" w:cs="Arial"/>
              </w:rPr>
              <w:t xml:space="preserve"> or through subcontractors as a result of the contract execution be paid not less than the prevailing rate of wages for the appropriate craft, classification, type of worker and locality as determined by the Director of the State Department of Industrial Relations in accordance with Division 2, Part 7, Chapter 1 of the California Labor Code, or as set out in the wage determination of the U.S. Secretary of Labor, whichever is higher. Nothing herein shall require </w:t>
            </w:r>
            <w:r>
              <w:rPr>
                <w:rFonts w:ascii="Arial" w:hAnsi="Arial" w:cs="Arial"/>
              </w:rPr>
              <w:t>Buyer</w:t>
            </w:r>
            <w:r w:rsidRPr="00A82D3C">
              <w:rPr>
                <w:rFonts w:ascii="Arial" w:hAnsi="Arial" w:cs="Arial"/>
              </w:rPr>
              <w:t xml:space="preserve">, </w:t>
            </w:r>
            <w:r>
              <w:rPr>
                <w:rFonts w:ascii="Arial" w:hAnsi="Arial" w:cs="Arial"/>
              </w:rPr>
              <w:t>Buyer’s</w:t>
            </w:r>
            <w:r w:rsidRPr="00A82D3C">
              <w:rPr>
                <w:rFonts w:ascii="Arial" w:hAnsi="Arial" w:cs="Arial"/>
              </w:rPr>
              <w:t xml:space="preserve"> contractors, or subcontractors to comply with, or assume liability or obligations created by other inapplicable provisions of the California Labor Code.</w:t>
            </w:r>
          </w:p>
        </w:tc>
      </w:tr>
      <w:tr w:rsidR="004D7834" w14:paraId="2F91BBDA" w14:textId="77777777" w:rsidTr="00084BE6">
        <w:tc>
          <w:tcPr>
            <w:tcW w:w="900" w:type="dxa"/>
          </w:tcPr>
          <w:p w14:paraId="3F934B9D"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10C8AD84" w14:textId="77777777" w:rsidR="00084BE6" w:rsidRPr="004A17BB" w:rsidRDefault="00C67163">
            <w:pPr>
              <w:rPr>
                <w:rFonts w:ascii="Arial" w:hAnsi="Arial" w:cs="Arial"/>
              </w:rPr>
            </w:pPr>
            <w:r>
              <w:rPr>
                <w:rFonts w:ascii="Arial" w:hAnsi="Arial" w:cs="Arial"/>
              </w:rPr>
              <w:t>Local Workforce</w:t>
            </w:r>
          </w:p>
        </w:tc>
        <w:tc>
          <w:tcPr>
            <w:tcW w:w="7020" w:type="dxa"/>
          </w:tcPr>
          <w:p w14:paraId="7DB54E82" w14:textId="77777777" w:rsidR="00084BE6" w:rsidRPr="004A17BB" w:rsidRDefault="00C67163" w:rsidP="00084BE6">
            <w:pPr>
              <w:pStyle w:val="ESAParai"/>
              <w:ind w:firstLine="0"/>
              <w:jc w:val="both"/>
              <w:rPr>
                <w:rFonts w:ascii="Arial" w:hAnsi="Arial" w:cs="Arial"/>
              </w:rPr>
            </w:pPr>
            <w:r>
              <w:rPr>
                <w:rFonts w:ascii="Arial" w:hAnsi="Arial" w:cs="Arial"/>
              </w:rPr>
              <w:t xml:space="preserve">Seller must abide by any local workforce proposal included in bid, including </w:t>
            </w:r>
            <w:r w:rsidRPr="00A82D3C">
              <w:rPr>
                <w:rFonts w:ascii="Arial" w:hAnsi="Arial" w:cs="Arial"/>
              </w:rPr>
              <w:t xml:space="preserve">project development and/or maintenance activities that are completed by and/or utilize labor and other workforce resources sourced </w:t>
            </w:r>
            <w:r>
              <w:rPr>
                <w:rFonts w:ascii="Arial" w:hAnsi="Arial" w:cs="Arial"/>
              </w:rPr>
              <w:t>from Alameda County, California</w:t>
            </w:r>
          </w:p>
        </w:tc>
      </w:tr>
      <w:tr w:rsidR="004D7834" w14:paraId="126DF26A" w14:textId="77777777" w:rsidTr="00084BE6">
        <w:tc>
          <w:tcPr>
            <w:tcW w:w="900" w:type="dxa"/>
          </w:tcPr>
          <w:p w14:paraId="04E05FF5"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2ECDF19A" w14:textId="539F1521" w:rsidR="00084BE6" w:rsidRPr="00354814" w:rsidRDefault="00C67163">
            <w:pPr>
              <w:rPr>
                <w:rFonts w:ascii="Arial" w:hAnsi="Arial" w:cs="Arial"/>
              </w:rPr>
            </w:pPr>
            <w:r w:rsidRPr="00354814">
              <w:rPr>
                <w:rFonts w:ascii="Arial" w:hAnsi="Arial" w:cs="Arial"/>
              </w:rPr>
              <w:t xml:space="preserve">CPUC Approval of </w:t>
            </w:r>
            <w:r w:rsidR="00990B3F">
              <w:rPr>
                <w:rFonts w:ascii="Arial" w:hAnsi="Arial" w:cs="Arial"/>
              </w:rPr>
              <w:t>Contingent</w:t>
            </w:r>
            <w:r w:rsidRPr="00354814">
              <w:rPr>
                <w:rFonts w:ascii="Arial" w:hAnsi="Arial" w:cs="Arial"/>
              </w:rPr>
              <w:t xml:space="preserve"> </w:t>
            </w:r>
            <w:r w:rsidR="00990B3F">
              <w:rPr>
                <w:rFonts w:ascii="Arial" w:hAnsi="Arial" w:cs="Arial"/>
              </w:rPr>
              <w:t xml:space="preserve">PG&amp;E </w:t>
            </w:r>
            <w:r w:rsidRPr="00354814">
              <w:rPr>
                <w:rFonts w:ascii="Arial" w:hAnsi="Arial" w:cs="Arial"/>
              </w:rPr>
              <w:t>Project Reliability Contract</w:t>
            </w:r>
          </w:p>
        </w:tc>
        <w:tc>
          <w:tcPr>
            <w:tcW w:w="7020" w:type="dxa"/>
          </w:tcPr>
          <w:p w14:paraId="2DBA723E" w14:textId="2D8C1C5E" w:rsidR="00084BE6" w:rsidRPr="00354814" w:rsidRDefault="00C67163" w:rsidP="00084BE6">
            <w:pPr>
              <w:pStyle w:val="ESAParai"/>
              <w:ind w:firstLine="0"/>
              <w:jc w:val="both"/>
              <w:rPr>
                <w:rFonts w:ascii="Arial" w:hAnsi="Arial" w:cs="Arial"/>
              </w:rPr>
            </w:pPr>
            <w:r w:rsidRPr="00804F39">
              <w:rPr>
                <w:rFonts w:ascii="Arial" w:hAnsi="Arial" w:cs="Arial"/>
              </w:rPr>
              <w:t xml:space="preserve">If Seller enters into a separate agreement with PG&amp;E for reliability products from the Project, </w:t>
            </w:r>
            <w:r w:rsidR="00990B3F">
              <w:rPr>
                <w:rFonts w:ascii="Arial" w:hAnsi="Arial" w:cs="Arial"/>
              </w:rPr>
              <w:t xml:space="preserve">this agreement with EBCE is contingent on the reliability agreement with PG&amp;E, </w:t>
            </w:r>
            <w:r w:rsidRPr="00804F39">
              <w:rPr>
                <w:rFonts w:ascii="Arial" w:hAnsi="Arial" w:cs="Arial"/>
              </w:rPr>
              <w:t xml:space="preserve">and CPUC Approval of the </w:t>
            </w:r>
            <w:r w:rsidR="00990B3F">
              <w:rPr>
                <w:rFonts w:ascii="Arial" w:hAnsi="Arial" w:cs="Arial"/>
              </w:rPr>
              <w:t xml:space="preserve">PG&amp;E </w:t>
            </w:r>
            <w:r w:rsidRPr="00804F39">
              <w:rPr>
                <w:rFonts w:ascii="Arial" w:hAnsi="Arial" w:cs="Arial"/>
              </w:rPr>
              <w:t xml:space="preserve">reliability agreement has not occurred on or before 180 days from the date on which PG&amp;E files the reliability agreement with the CPUC seeking CPUC Approval, then either Party </w:t>
            </w:r>
            <w:r w:rsidRPr="00354814">
              <w:rPr>
                <w:rFonts w:ascii="Arial" w:hAnsi="Arial" w:cs="Arial"/>
              </w:rPr>
              <w:t>may terminate this agreement</w:t>
            </w:r>
            <w:r>
              <w:rPr>
                <w:rFonts w:ascii="Arial" w:hAnsi="Arial" w:cs="Arial"/>
              </w:rPr>
              <w:t>.</w:t>
            </w:r>
          </w:p>
          <w:p w14:paraId="64BD916F" w14:textId="77777777" w:rsidR="00084BE6" w:rsidRPr="00354814" w:rsidRDefault="00C67163" w:rsidP="00084BE6">
            <w:pPr>
              <w:jc w:val="both"/>
              <w:rPr>
                <w:rFonts w:ascii="Arial" w:hAnsi="Arial" w:cs="Arial"/>
              </w:rPr>
            </w:pPr>
            <w:r w:rsidRPr="00354814">
              <w:rPr>
                <w:rFonts w:ascii="Arial" w:hAnsi="Arial" w:cs="Arial"/>
              </w:rPr>
              <w:t xml:space="preserve">“CPUC Approval” means a final and non-appealable order of the CPUC, without conditions or modifications unacceptable to either </w:t>
            </w:r>
            <w:r>
              <w:rPr>
                <w:rFonts w:ascii="Arial" w:hAnsi="Arial" w:cs="Arial"/>
              </w:rPr>
              <w:t>S</w:t>
            </w:r>
            <w:r w:rsidRPr="00354814">
              <w:rPr>
                <w:rFonts w:ascii="Arial" w:hAnsi="Arial" w:cs="Arial"/>
              </w:rPr>
              <w:t>eller or PG&amp;E, pursuant to which the CPUC approves of the agreement in its entirety.</w:t>
            </w:r>
          </w:p>
          <w:p w14:paraId="57813227" w14:textId="77777777" w:rsidR="00084BE6" w:rsidRPr="00354814" w:rsidRDefault="00084BE6" w:rsidP="00084BE6">
            <w:pPr>
              <w:jc w:val="both"/>
            </w:pPr>
          </w:p>
        </w:tc>
      </w:tr>
      <w:tr w:rsidR="004D7834" w14:paraId="0BB1627F" w14:textId="77777777" w:rsidTr="00084BE6">
        <w:tc>
          <w:tcPr>
            <w:tcW w:w="900" w:type="dxa"/>
          </w:tcPr>
          <w:p w14:paraId="1EF983BB"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653F71C0" w14:textId="77777777" w:rsidR="00084BE6" w:rsidRPr="004A17BB" w:rsidRDefault="00C67163">
            <w:pPr>
              <w:rPr>
                <w:rFonts w:ascii="Arial" w:hAnsi="Arial" w:cs="Arial"/>
              </w:rPr>
            </w:pPr>
            <w:r w:rsidRPr="004A17BB">
              <w:rPr>
                <w:rFonts w:ascii="Arial" w:hAnsi="Arial" w:cs="Arial"/>
              </w:rPr>
              <w:t>Conditions Precedent</w:t>
            </w:r>
          </w:p>
        </w:tc>
        <w:tc>
          <w:tcPr>
            <w:tcW w:w="7020" w:type="dxa"/>
          </w:tcPr>
          <w:p w14:paraId="4DFBC444" w14:textId="77777777" w:rsidR="00084BE6" w:rsidRDefault="00C67163" w:rsidP="00084BE6">
            <w:pPr>
              <w:jc w:val="both"/>
              <w:rPr>
                <w:rFonts w:ascii="Arial" w:hAnsi="Arial" w:cs="Arial"/>
              </w:rPr>
            </w:pPr>
            <w:r w:rsidRPr="004A17BB">
              <w:rPr>
                <w:rFonts w:ascii="Arial" w:hAnsi="Arial" w:cs="Arial"/>
              </w:rPr>
              <w:t>The Initial Delivery Date shall not occur until</w:t>
            </w:r>
            <w:r>
              <w:rPr>
                <w:rFonts w:ascii="Arial" w:hAnsi="Arial" w:cs="Arial"/>
              </w:rPr>
              <w:t xml:space="preserve">: </w:t>
            </w:r>
          </w:p>
          <w:p w14:paraId="4EA545A9" w14:textId="77777777" w:rsidR="00084BE6" w:rsidRPr="00AA57D0" w:rsidRDefault="00084BE6" w:rsidP="00084BE6">
            <w:pPr>
              <w:jc w:val="both"/>
              <w:rPr>
                <w:rFonts w:ascii="Arial" w:hAnsi="Arial" w:cs="Arial"/>
              </w:rPr>
            </w:pPr>
          </w:p>
          <w:p w14:paraId="356E3FE2" w14:textId="77777777" w:rsidR="00084BE6" w:rsidRPr="00354814" w:rsidRDefault="00C67163" w:rsidP="00084BE6">
            <w:pPr>
              <w:pStyle w:val="ListParagraph"/>
              <w:numPr>
                <w:ilvl w:val="0"/>
                <w:numId w:val="11"/>
              </w:numPr>
              <w:ind w:left="882" w:hanging="540"/>
              <w:jc w:val="both"/>
              <w:rPr>
                <w:rFonts w:ascii="Arial" w:hAnsi="Arial" w:cs="Arial"/>
              </w:rPr>
            </w:pPr>
            <w:r w:rsidRPr="00354814">
              <w:rPr>
                <w:rFonts w:ascii="Arial" w:hAnsi="Arial" w:cs="Arial"/>
              </w:rPr>
              <w:t xml:space="preserve">the Agreement has been duly executed by the authorized representatives of each of Buyer and Seller; </w:t>
            </w:r>
          </w:p>
          <w:p w14:paraId="6195929F" w14:textId="1E84F540" w:rsidR="00084BE6" w:rsidRPr="00354814" w:rsidRDefault="00C67163" w:rsidP="00084BE6">
            <w:pPr>
              <w:pStyle w:val="ListParagraph"/>
              <w:numPr>
                <w:ilvl w:val="0"/>
                <w:numId w:val="11"/>
              </w:numPr>
              <w:ind w:left="882" w:hanging="540"/>
              <w:jc w:val="both"/>
              <w:rPr>
                <w:rFonts w:ascii="Arial" w:hAnsi="Arial" w:cs="Arial"/>
              </w:rPr>
            </w:pPr>
            <w:r w:rsidRPr="00774511">
              <w:rPr>
                <w:rFonts w:ascii="Arial" w:hAnsi="Arial" w:cs="Arial"/>
              </w:rPr>
              <w:t xml:space="preserve">CPUC approval </w:t>
            </w:r>
            <w:r>
              <w:rPr>
                <w:rFonts w:ascii="Arial" w:hAnsi="Arial" w:cs="Arial"/>
              </w:rPr>
              <w:t>of contract with PG&amp;E for reliability products from</w:t>
            </w:r>
            <w:r w:rsidR="00990B3F">
              <w:rPr>
                <w:rFonts w:ascii="Arial" w:hAnsi="Arial" w:cs="Arial"/>
              </w:rPr>
              <w:t xml:space="preserve"> the Project has been obtained</w:t>
            </w:r>
            <w:r w:rsidR="00990B3F" w:rsidRPr="00990B3F">
              <w:rPr>
                <w:rFonts w:ascii="Arial" w:hAnsi="Arial" w:cs="Arial"/>
                <w:b/>
                <w:i/>
              </w:rPr>
              <w:t xml:space="preserve"> [</w:t>
            </w:r>
            <w:r w:rsidRPr="00990B3F">
              <w:rPr>
                <w:rFonts w:ascii="Arial" w:hAnsi="Arial" w:cs="Arial"/>
                <w:b/>
                <w:i/>
              </w:rPr>
              <w:t xml:space="preserve">to the extent </w:t>
            </w:r>
            <w:r w:rsidR="00990B3F" w:rsidRPr="00990B3F">
              <w:rPr>
                <w:rFonts w:ascii="Arial" w:hAnsi="Arial" w:cs="Arial"/>
                <w:b/>
                <w:i/>
              </w:rPr>
              <w:t xml:space="preserve">contingent and </w:t>
            </w:r>
            <w:r w:rsidRPr="00990B3F">
              <w:rPr>
                <w:rFonts w:ascii="Arial" w:hAnsi="Arial" w:cs="Arial"/>
                <w:b/>
                <w:i/>
              </w:rPr>
              <w:t>required</w:t>
            </w:r>
            <w:r w:rsidR="00990B3F">
              <w:rPr>
                <w:rFonts w:ascii="Arial" w:hAnsi="Arial" w:cs="Arial"/>
                <w:b/>
                <w:i/>
              </w:rPr>
              <w:t>; Seller to specify]</w:t>
            </w:r>
            <w:r>
              <w:rPr>
                <w:rFonts w:ascii="Arial" w:hAnsi="Arial" w:cs="Arial"/>
              </w:rPr>
              <w:t>;</w:t>
            </w:r>
          </w:p>
          <w:p w14:paraId="4226CF94" w14:textId="77777777" w:rsidR="00084BE6" w:rsidRPr="00354814" w:rsidRDefault="00C67163" w:rsidP="00084BE6">
            <w:pPr>
              <w:pStyle w:val="ListParagraph"/>
              <w:numPr>
                <w:ilvl w:val="0"/>
                <w:numId w:val="11"/>
              </w:numPr>
              <w:ind w:left="882" w:hanging="540"/>
              <w:jc w:val="both"/>
              <w:rPr>
                <w:rFonts w:ascii="Arial" w:hAnsi="Arial" w:cs="Arial"/>
              </w:rPr>
            </w:pPr>
            <w:r w:rsidRPr="00AA57D0">
              <w:rPr>
                <w:rFonts w:ascii="Arial" w:hAnsi="Arial" w:cs="Arial"/>
              </w:rPr>
              <w:t>Seller has constructed the Project and provided Buyer certification from an independent engineer that the Project is commercially operable and constructed in accordance with the safety requirements;</w:t>
            </w:r>
            <w:r>
              <w:rPr>
                <w:rFonts w:ascii="Arial" w:hAnsi="Arial" w:cs="Arial"/>
              </w:rPr>
              <w:t xml:space="preserve"> and</w:t>
            </w:r>
          </w:p>
          <w:p w14:paraId="65F6373B" w14:textId="77777777" w:rsidR="00084BE6" w:rsidRDefault="00C67163" w:rsidP="00084BE6">
            <w:pPr>
              <w:pStyle w:val="ListParagraph"/>
              <w:numPr>
                <w:ilvl w:val="0"/>
                <w:numId w:val="11"/>
              </w:numPr>
              <w:ind w:left="882" w:hanging="540"/>
              <w:jc w:val="both"/>
              <w:rPr>
                <w:rFonts w:ascii="Arial" w:hAnsi="Arial" w:cs="Arial"/>
              </w:rPr>
            </w:pPr>
            <w:r w:rsidRPr="00AA57D0">
              <w:rPr>
                <w:rFonts w:ascii="Arial" w:hAnsi="Arial" w:cs="Arial"/>
              </w:rPr>
              <w:t xml:space="preserve">Seller </w:t>
            </w:r>
            <w:r>
              <w:rPr>
                <w:rFonts w:ascii="Arial" w:hAnsi="Arial" w:cs="Arial"/>
              </w:rPr>
              <w:t>has</w:t>
            </w:r>
            <w:r w:rsidRPr="00AA57D0">
              <w:rPr>
                <w:rFonts w:ascii="Arial" w:hAnsi="Arial" w:cs="Arial"/>
              </w:rPr>
              <w:t xml:space="preserve"> provide</w:t>
            </w:r>
            <w:r>
              <w:rPr>
                <w:rFonts w:ascii="Arial" w:hAnsi="Arial" w:cs="Arial"/>
              </w:rPr>
              <w:t>d</w:t>
            </w:r>
            <w:r w:rsidRPr="00AA57D0">
              <w:rPr>
                <w:rFonts w:ascii="Arial" w:hAnsi="Arial" w:cs="Arial"/>
              </w:rPr>
              <w:t xml:space="preserve"> Buyer with </w:t>
            </w:r>
            <w:r>
              <w:rPr>
                <w:rFonts w:ascii="Arial" w:hAnsi="Arial" w:cs="Arial"/>
              </w:rPr>
              <w:t xml:space="preserve">customary </w:t>
            </w:r>
            <w:r w:rsidRPr="00AA57D0">
              <w:rPr>
                <w:rFonts w:ascii="Arial" w:hAnsi="Arial" w:cs="Arial"/>
              </w:rPr>
              <w:t>documentation</w:t>
            </w:r>
            <w:r>
              <w:rPr>
                <w:rFonts w:ascii="Arial" w:hAnsi="Arial" w:cs="Arial"/>
              </w:rPr>
              <w:t>, including</w:t>
            </w:r>
            <w:r w:rsidRPr="00AA57D0">
              <w:rPr>
                <w:rFonts w:ascii="Arial" w:hAnsi="Arial" w:cs="Arial"/>
              </w:rPr>
              <w:t xml:space="preserve"> Seller’s organizational incorporation/charter, evidence of site control, evidence of CEC certification and verification, and recent financial statements.</w:t>
            </w:r>
          </w:p>
          <w:p w14:paraId="31B1C3CD" w14:textId="77777777" w:rsidR="00084BE6" w:rsidRPr="004A17BB" w:rsidRDefault="00084BE6" w:rsidP="00084BE6">
            <w:pPr>
              <w:jc w:val="both"/>
              <w:rPr>
                <w:rFonts w:ascii="Arial" w:hAnsi="Arial" w:cs="Arial"/>
              </w:rPr>
            </w:pPr>
          </w:p>
        </w:tc>
      </w:tr>
      <w:tr w:rsidR="004D7834" w14:paraId="1A2D6CE5" w14:textId="77777777" w:rsidTr="00084BE6">
        <w:tc>
          <w:tcPr>
            <w:tcW w:w="900" w:type="dxa"/>
          </w:tcPr>
          <w:p w14:paraId="2F1C5F81"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6E88A8A2" w14:textId="77777777" w:rsidR="00084BE6" w:rsidRDefault="00C67163">
            <w:pPr>
              <w:rPr>
                <w:rFonts w:ascii="Arial" w:hAnsi="Arial" w:cs="Arial"/>
              </w:rPr>
            </w:pPr>
            <w:r>
              <w:rPr>
                <w:rFonts w:ascii="Arial" w:hAnsi="Arial" w:cs="Arial"/>
              </w:rPr>
              <w:t>Limitations on Liability</w:t>
            </w:r>
          </w:p>
          <w:p w14:paraId="0BBA47B7" w14:textId="77777777" w:rsidR="00084BE6" w:rsidRPr="004A17BB" w:rsidRDefault="00084BE6">
            <w:pPr>
              <w:rPr>
                <w:rFonts w:ascii="Arial" w:hAnsi="Arial" w:cs="Arial"/>
              </w:rPr>
            </w:pPr>
          </w:p>
        </w:tc>
        <w:tc>
          <w:tcPr>
            <w:tcW w:w="7020" w:type="dxa"/>
          </w:tcPr>
          <w:p w14:paraId="045DEA83" w14:textId="77777777" w:rsidR="00084BE6" w:rsidRDefault="00C67163" w:rsidP="00084BE6">
            <w:pPr>
              <w:jc w:val="both"/>
              <w:rPr>
                <w:rFonts w:ascii="Arial" w:hAnsi="Arial" w:cs="Arial"/>
              </w:rPr>
            </w:pPr>
            <w:r w:rsidRPr="00890469">
              <w:rPr>
                <w:rFonts w:ascii="Arial" w:hAnsi="Arial" w:cs="Arial"/>
              </w:rPr>
              <w:t>IN NO EVENT WILL EITHER PARTY BE LIABLE TO THE OTHER PARTY FOR ANY CONSEQUENTIAL, INDIRECT, EXEMPLARY, PUNITIVE, OR INCIDENTAL DAMAGES, INCLUDING ANY LOST PROFITS OR LOST REVENUE, ARISING FROM OR BASED ON THIS TERM SHEET, WHETHER ALLEGED AS A BREACH OF CONTRACT OR NEGLIGENCE OR OTHER TORTIOUS CONDUCT, EVEN IF SUCH PARTY HAS BEEN ADVISED OF THE POSSIBILITY OF SUCH DAMAGES</w:t>
            </w:r>
            <w:r>
              <w:rPr>
                <w:rFonts w:ascii="Arial" w:hAnsi="Arial" w:cs="Arial"/>
              </w:rPr>
              <w:t>.</w:t>
            </w:r>
          </w:p>
          <w:p w14:paraId="21FA4B74" w14:textId="77777777" w:rsidR="00084BE6" w:rsidRPr="004A17BB" w:rsidRDefault="00084BE6" w:rsidP="00084BE6">
            <w:pPr>
              <w:jc w:val="both"/>
              <w:rPr>
                <w:rFonts w:ascii="Arial" w:hAnsi="Arial" w:cs="Arial"/>
              </w:rPr>
            </w:pPr>
          </w:p>
        </w:tc>
      </w:tr>
      <w:tr w:rsidR="001F0FEF" w14:paraId="6CFB4B83" w14:textId="77777777" w:rsidTr="00084BE6">
        <w:tc>
          <w:tcPr>
            <w:tcW w:w="900" w:type="dxa"/>
          </w:tcPr>
          <w:p w14:paraId="18DCF9B4" w14:textId="77777777" w:rsidR="001F0FEF" w:rsidRPr="004A17BB" w:rsidRDefault="001F0FEF" w:rsidP="00084BE6">
            <w:pPr>
              <w:pStyle w:val="ListParagraph"/>
              <w:numPr>
                <w:ilvl w:val="0"/>
                <w:numId w:val="4"/>
              </w:numPr>
              <w:jc w:val="both"/>
              <w:rPr>
                <w:rFonts w:ascii="Arial" w:hAnsi="Arial" w:cs="Arial"/>
              </w:rPr>
            </w:pPr>
          </w:p>
        </w:tc>
        <w:tc>
          <w:tcPr>
            <w:tcW w:w="1800" w:type="dxa"/>
          </w:tcPr>
          <w:p w14:paraId="70641B92" w14:textId="080D37C5" w:rsidR="001F0FEF" w:rsidRDefault="000C0AA5">
            <w:pPr>
              <w:rPr>
                <w:rFonts w:ascii="Arial" w:hAnsi="Arial" w:cs="Arial"/>
              </w:rPr>
            </w:pPr>
            <w:r>
              <w:rPr>
                <w:rFonts w:ascii="Arial" w:hAnsi="Arial" w:cs="Arial"/>
              </w:rPr>
              <w:t>Indemnification</w:t>
            </w:r>
          </w:p>
        </w:tc>
        <w:tc>
          <w:tcPr>
            <w:tcW w:w="7020" w:type="dxa"/>
          </w:tcPr>
          <w:p w14:paraId="755BE1C8" w14:textId="6358C223" w:rsidR="001F0FEF" w:rsidRDefault="00990B3F" w:rsidP="00084BE6">
            <w:pPr>
              <w:jc w:val="both"/>
              <w:rPr>
                <w:rFonts w:ascii="Arial" w:hAnsi="Arial" w:cs="Arial"/>
              </w:rPr>
            </w:pPr>
            <w:r w:rsidRPr="00990B3F">
              <w:rPr>
                <w:rFonts w:ascii="Arial" w:hAnsi="Arial" w:cs="Arial"/>
              </w:rPr>
              <w:t>To the maximum extent allowed by law, Seller will indemnify, protect, defend, with counsel reasonably approved by Buyer, and hold harmless Buyer, its officers, employees, and agents, from and against any and all claims, losses, damages, injuries, expenses or liabilities that, directly or indirectly, or in whole or in part, arise out of, pertain to, or relate to Seller’s obligations under this Agreement, including without limitation, violation or infringement of trademarks or patents, any act or omission by Seller or its subcontractors, or anyone under Seller’s control, or any breach of this Agreement.  This indemnity applies whether such actions or omissions are negligent (active or passive), intentional or reckless.</w:t>
            </w:r>
          </w:p>
          <w:p w14:paraId="4B829E2F" w14:textId="27BF6A40" w:rsidR="005951DC" w:rsidRPr="00890469" w:rsidRDefault="005951DC" w:rsidP="00084BE6">
            <w:pPr>
              <w:jc w:val="both"/>
              <w:rPr>
                <w:rFonts w:ascii="Arial" w:hAnsi="Arial" w:cs="Arial"/>
              </w:rPr>
            </w:pPr>
          </w:p>
        </w:tc>
      </w:tr>
      <w:tr w:rsidR="004D7834" w14:paraId="264800F7" w14:textId="77777777" w:rsidTr="00084BE6">
        <w:tc>
          <w:tcPr>
            <w:tcW w:w="900" w:type="dxa"/>
          </w:tcPr>
          <w:p w14:paraId="5BB7592B"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23E4A781" w14:textId="77777777" w:rsidR="00084BE6" w:rsidRPr="004A17BB" w:rsidRDefault="00C67163">
            <w:pPr>
              <w:rPr>
                <w:rFonts w:ascii="Arial" w:hAnsi="Arial" w:cs="Arial"/>
              </w:rPr>
            </w:pPr>
            <w:r>
              <w:rPr>
                <w:rFonts w:ascii="Arial" w:hAnsi="Arial" w:cs="Arial"/>
              </w:rPr>
              <w:t>Expenses</w:t>
            </w:r>
          </w:p>
        </w:tc>
        <w:tc>
          <w:tcPr>
            <w:tcW w:w="7020" w:type="dxa"/>
          </w:tcPr>
          <w:p w14:paraId="15FAD463" w14:textId="27BFCA66" w:rsidR="00084BE6" w:rsidRDefault="00C67163" w:rsidP="00084BE6">
            <w:pPr>
              <w:jc w:val="both"/>
              <w:rPr>
                <w:rFonts w:ascii="Arial" w:hAnsi="Arial" w:cs="Arial"/>
              </w:rPr>
            </w:pPr>
            <w:r w:rsidRPr="00890469">
              <w:rPr>
                <w:rFonts w:ascii="Arial" w:hAnsi="Arial" w:cs="Arial"/>
              </w:rPr>
              <w:t>Each Party is solely responsible for any and all fees or expenses it may incur in connection with this Term Sheet, including but not limited to legal counsel, professional accountants, or technical consultants’ fees or expenses.</w:t>
            </w:r>
          </w:p>
          <w:p w14:paraId="52B2893E" w14:textId="77777777" w:rsidR="00084BE6" w:rsidRPr="004A17BB" w:rsidRDefault="00084BE6" w:rsidP="00084BE6">
            <w:pPr>
              <w:jc w:val="both"/>
              <w:rPr>
                <w:rFonts w:ascii="Arial" w:hAnsi="Arial" w:cs="Arial"/>
              </w:rPr>
            </w:pPr>
          </w:p>
        </w:tc>
      </w:tr>
      <w:tr w:rsidR="004D7834" w14:paraId="1EA3CBD1" w14:textId="77777777" w:rsidTr="00084BE6">
        <w:tc>
          <w:tcPr>
            <w:tcW w:w="900" w:type="dxa"/>
          </w:tcPr>
          <w:p w14:paraId="3359DDB8"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199BBB74" w14:textId="77777777" w:rsidR="00084BE6" w:rsidRPr="004A17BB" w:rsidRDefault="00C67163">
            <w:pPr>
              <w:rPr>
                <w:rFonts w:ascii="Arial" w:hAnsi="Arial" w:cs="Arial"/>
              </w:rPr>
            </w:pPr>
            <w:r w:rsidRPr="004A17BB">
              <w:rPr>
                <w:rFonts w:ascii="Arial" w:hAnsi="Arial" w:cs="Arial"/>
              </w:rPr>
              <w:t>Confidentiality</w:t>
            </w:r>
          </w:p>
        </w:tc>
        <w:tc>
          <w:tcPr>
            <w:tcW w:w="7020" w:type="dxa"/>
          </w:tcPr>
          <w:p w14:paraId="0206D1CF" w14:textId="2321A75C" w:rsidR="00AA3696" w:rsidRDefault="00AA3696" w:rsidP="00AA3696">
            <w:pPr>
              <w:jc w:val="both"/>
              <w:rPr>
                <w:rFonts w:ascii="Arial" w:hAnsi="Arial" w:cs="Arial"/>
              </w:rPr>
            </w:pPr>
            <w:r>
              <w:rPr>
                <w:rFonts w:ascii="Arial" w:hAnsi="Arial" w:cs="Arial"/>
              </w:rPr>
              <w:t>Seller</w:t>
            </w:r>
            <w:r w:rsidRPr="00AA3696">
              <w:rPr>
                <w:rFonts w:ascii="Arial" w:hAnsi="Arial" w:cs="Arial"/>
              </w:rPr>
              <w:t xml:space="preserve"> acknowledges that </w:t>
            </w:r>
            <w:r>
              <w:rPr>
                <w:rFonts w:ascii="Arial" w:hAnsi="Arial" w:cs="Arial"/>
              </w:rPr>
              <w:t>Buyer</w:t>
            </w:r>
            <w:r w:rsidRPr="00AA3696">
              <w:rPr>
                <w:rFonts w:ascii="Arial" w:hAnsi="Arial" w:cs="Arial"/>
              </w:rPr>
              <w:t xml:space="preserve"> is a public agency subject to the disclosure requirements of the California Public Records Act, Cal. </w:t>
            </w:r>
            <w:r w:rsidRPr="00AA3696">
              <w:rPr>
                <w:rFonts w:ascii="Arial" w:hAnsi="Arial" w:cs="Arial"/>
                <w:lang w:val="fr-FR"/>
              </w:rPr>
              <w:t xml:space="preserve">Gov. Code § 6250 et seq. (“CPRA”).  </w:t>
            </w:r>
            <w:r w:rsidRPr="00354814">
              <w:rPr>
                <w:rFonts w:ascii="Arial" w:hAnsi="Arial" w:cs="Arial"/>
              </w:rPr>
              <w:t xml:space="preserve">The Parties will keep confidential and not disclose to any third party </w:t>
            </w:r>
            <w:r>
              <w:rPr>
                <w:rFonts w:ascii="Arial" w:hAnsi="Arial" w:cs="Arial"/>
              </w:rPr>
              <w:t>the terms contained in this t</w:t>
            </w:r>
            <w:r w:rsidRPr="00354814">
              <w:rPr>
                <w:rFonts w:ascii="Arial" w:hAnsi="Arial" w:cs="Arial"/>
              </w:rPr>
              <w:t xml:space="preserve">erm </w:t>
            </w:r>
            <w:r>
              <w:rPr>
                <w:rFonts w:ascii="Arial" w:hAnsi="Arial" w:cs="Arial"/>
              </w:rPr>
              <w:t>s</w:t>
            </w:r>
            <w:r w:rsidRPr="00354814">
              <w:rPr>
                <w:rFonts w:ascii="Arial" w:hAnsi="Arial" w:cs="Arial"/>
              </w:rPr>
              <w:t>heet, except as required by law</w:t>
            </w:r>
            <w:r>
              <w:rPr>
                <w:rFonts w:ascii="Arial" w:hAnsi="Arial" w:cs="Arial"/>
              </w:rPr>
              <w:t xml:space="preserve">, including the CPRA.  </w:t>
            </w:r>
            <w:r w:rsidRPr="00AA3696">
              <w:rPr>
                <w:rFonts w:ascii="Arial" w:hAnsi="Arial" w:cs="Arial"/>
              </w:rPr>
              <w:t xml:space="preserve">If </w:t>
            </w:r>
            <w:r>
              <w:rPr>
                <w:rFonts w:ascii="Arial" w:hAnsi="Arial" w:cs="Arial"/>
              </w:rPr>
              <w:t>terms in the term sheet are</w:t>
            </w:r>
            <w:r w:rsidRPr="00AA3696">
              <w:rPr>
                <w:rFonts w:ascii="Arial" w:hAnsi="Arial" w:cs="Arial"/>
              </w:rPr>
              <w:t xml:space="preserve"> proprietary and confidential information</w:t>
            </w:r>
            <w:r>
              <w:rPr>
                <w:rFonts w:ascii="Arial" w:hAnsi="Arial" w:cs="Arial"/>
              </w:rPr>
              <w:t>, Seller must notify Buyer by</w:t>
            </w:r>
            <w:r w:rsidRPr="00AA3696">
              <w:rPr>
                <w:rFonts w:ascii="Arial" w:hAnsi="Arial" w:cs="Arial"/>
              </w:rPr>
              <w:t xml:space="preserve"> clearly mark</w:t>
            </w:r>
            <w:r>
              <w:rPr>
                <w:rFonts w:ascii="Arial" w:hAnsi="Arial" w:cs="Arial"/>
              </w:rPr>
              <w:t>ing</w:t>
            </w:r>
            <w:r w:rsidRPr="00AA3696">
              <w:rPr>
                <w:rFonts w:ascii="Arial" w:hAnsi="Arial" w:cs="Arial"/>
              </w:rPr>
              <w:t xml:space="preserve"> such information “CONFIDENTIAL AND PROPRIETARY” and identify the specific lines containing such </w:t>
            </w:r>
            <w:r w:rsidRPr="00AA3696">
              <w:rPr>
                <w:rFonts w:ascii="Arial" w:hAnsi="Arial" w:cs="Arial"/>
              </w:rPr>
              <w:lastRenderedPageBreak/>
              <w:t xml:space="preserve">information (the “Confidential Information”) and the CPRA exemption applicable to such information.  DO NOT MARK </w:t>
            </w:r>
            <w:r>
              <w:rPr>
                <w:rFonts w:ascii="Arial" w:hAnsi="Arial" w:cs="Arial"/>
              </w:rPr>
              <w:t>THE</w:t>
            </w:r>
            <w:r w:rsidRPr="00AA3696">
              <w:rPr>
                <w:rFonts w:ascii="Arial" w:hAnsi="Arial" w:cs="Arial"/>
              </w:rPr>
              <w:t xml:space="preserve"> ENTIRE </w:t>
            </w:r>
            <w:r>
              <w:rPr>
                <w:rFonts w:ascii="Arial" w:hAnsi="Arial" w:cs="Arial"/>
              </w:rPr>
              <w:t>TERM SHEET</w:t>
            </w:r>
            <w:r w:rsidRPr="00AA3696">
              <w:rPr>
                <w:rFonts w:ascii="Arial" w:hAnsi="Arial" w:cs="Arial"/>
              </w:rPr>
              <w:t xml:space="preserve"> “CONFIDENTIAL.” Except for disclosures to </w:t>
            </w:r>
            <w:r>
              <w:rPr>
                <w:rFonts w:ascii="Arial" w:hAnsi="Arial" w:cs="Arial"/>
              </w:rPr>
              <w:t>Buyer</w:t>
            </w:r>
            <w:r w:rsidRPr="00AA3696">
              <w:rPr>
                <w:rFonts w:ascii="Arial" w:hAnsi="Arial" w:cs="Arial"/>
              </w:rPr>
              <w:t xml:space="preserve">’s directors, officers, employees, agents, representatives or advisors (including financial advisors, attorneys and accountants), </w:t>
            </w:r>
            <w:r>
              <w:rPr>
                <w:rFonts w:ascii="Arial" w:hAnsi="Arial" w:cs="Arial"/>
              </w:rPr>
              <w:t>Buyer</w:t>
            </w:r>
            <w:r w:rsidRPr="00AA3696">
              <w:rPr>
                <w:rFonts w:ascii="Arial" w:hAnsi="Arial" w:cs="Arial"/>
              </w:rPr>
              <w:t xml:space="preserve"> shall disclose such Confidential Information to third parties only to the extent that such disclosure is required by California law (including, without limitation, the California Constitution, the CPRA and the Brown Act) as set forth in this Section.</w:t>
            </w:r>
          </w:p>
          <w:p w14:paraId="5C5E2F9E" w14:textId="77777777" w:rsidR="00AA3696" w:rsidRPr="00AA3696" w:rsidRDefault="00AA3696" w:rsidP="00AA3696">
            <w:pPr>
              <w:jc w:val="both"/>
              <w:rPr>
                <w:rFonts w:ascii="Arial" w:hAnsi="Arial" w:cs="Arial"/>
              </w:rPr>
            </w:pPr>
          </w:p>
          <w:p w14:paraId="4CF1E58E" w14:textId="15EDFE47" w:rsidR="00AA3696" w:rsidRDefault="00AA3696" w:rsidP="00AA3696">
            <w:pPr>
              <w:jc w:val="both"/>
              <w:rPr>
                <w:rFonts w:ascii="Arial" w:hAnsi="Arial" w:cs="Arial"/>
              </w:rPr>
            </w:pPr>
            <w:r>
              <w:rPr>
                <w:rFonts w:ascii="Arial" w:hAnsi="Arial" w:cs="Arial"/>
              </w:rPr>
              <w:t>In the event of a third-</w:t>
            </w:r>
            <w:r w:rsidRPr="00AA3696">
              <w:rPr>
                <w:rFonts w:ascii="Arial" w:hAnsi="Arial" w:cs="Arial"/>
              </w:rPr>
              <w:t xml:space="preserve">party request for </w:t>
            </w:r>
            <w:r>
              <w:rPr>
                <w:rFonts w:ascii="Arial" w:hAnsi="Arial" w:cs="Arial"/>
              </w:rPr>
              <w:t>Buyer</w:t>
            </w:r>
            <w:r w:rsidRPr="00AA3696">
              <w:rPr>
                <w:rFonts w:ascii="Arial" w:hAnsi="Arial" w:cs="Arial"/>
              </w:rPr>
              <w:t xml:space="preserve"> to disclose such Confidential Information, </w:t>
            </w:r>
            <w:r>
              <w:rPr>
                <w:rFonts w:ascii="Arial" w:hAnsi="Arial" w:cs="Arial"/>
              </w:rPr>
              <w:t>Buyer</w:t>
            </w:r>
            <w:r w:rsidRPr="00AA3696">
              <w:rPr>
                <w:rFonts w:ascii="Arial" w:hAnsi="Arial" w:cs="Arial"/>
              </w:rPr>
              <w:t xml:space="preserve"> will make reasonable efforts to provide notice to </w:t>
            </w:r>
            <w:r>
              <w:rPr>
                <w:rFonts w:ascii="Arial" w:hAnsi="Arial" w:cs="Arial"/>
              </w:rPr>
              <w:t>Seller</w:t>
            </w:r>
            <w:r w:rsidRPr="00AA3696">
              <w:rPr>
                <w:rFonts w:ascii="Arial" w:hAnsi="Arial" w:cs="Arial"/>
              </w:rPr>
              <w:t xml:space="preserve"> prior to disclosure.  If </w:t>
            </w:r>
            <w:r>
              <w:rPr>
                <w:rFonts w:ascii="Arial" w:hAnsi="Arial" w:cs="Arial"/>
              </w:rPr>
              <w:t>Buyer</w:t>
            </w:r>
            <w:r w:rsidRPr="00AA3696">
              <w:rPr>
                <w:rFonts w:ascii="Arial" w:hAnsi="Arial" w:cs="Arial"/>
              </w:rPr>
              <w:t xml:space="preserve"> believes that such Confidential Information may be subject to disc</w:t>
            </w:r>
            <w:r>
              <w:rPr>
                <w:rFonts w:ascii="Arial" w:hAnsi="Arial" w:cs="Arial"/>
              </w:rPr>
              <w:t>losure under California law and</w:t>
            </w:r>
            <w:r w:rsidRPr="00AA3696">
              <w:rPr>
                <w:rFonts w:ascii="Arial" w:hAnsi="Arial" w:cs="Arial"/>
              </w:rPr>
              <w:t xml:space="preserve"> </w:t>
            </w:r>
            <w:r>
              <w:rPr>
                <w:rFonts w:ascii="Arial" w:hAnsi="Arial" w:cs="Arial"/>
              </w:rPr>
              <w:t>Seller</w:t>
            </w:r>
            <w:r w:rsidRPr="00AA3696">
              <w:rPr>
                <w:rFonts w:ascii="Arial" w:hAnsi="Arial" w:cs="Arial"/>
              </w:rPr>
              <w:t xml:space="preserve"> contends that any Confidential Information is exempt from the CPRA and wishes to prevent disclosure, </w:t>
            </w:r>
            <w:r>
              <w:rPr>
                <w:rFonts w:ascii="Arial" w:hAnsi="Arial" w:cs="Arial"/>
              </w:rPr>
              <w:t>Seller</w:t>
            </w:r>
            <w:r w:rsidRPr="00AA3696">
              <w:rPr>
                <w:rFonts w:ascii="Arial" w:hAnsi="Arial" w:cs="Arial"/>
              </w:rPr>
              <w:t xml:space="preserve"> must obtain a protective order, injunctive relief or other appropriate remedy from a court of law in Alameda County, California, before </w:t>
            </w:r>
            <w:r>
              <w:rPr>
                <w:rFonts w:ascii="Arial" w:hAnsi="Arial" w:cs="Arial"/>
              </w:rPr>
              <w:t>Buyer’s</w:t>
            </w:r>
            <w:r w:rsidRPr="00AA3696">
              <w:rPr>
                <w:rFonts w:ascii="Arial" w:hAnsi="Arial" w:cs="Arial"/>
              </w:rPr>
              <w:t xml:space="preserve"> deadline for responding to the CPRA request.  If </w:t>
            </w:r>
            <w:r>
              <w:rPr>
                <w:rFonts w:ascii="Arial" w:hAnsi="Arial" w:cs="Arial"/>
              </w:rPr>
              <w:t>Seller</w:t>
            </w:r>
            <w:r w:rsidRPr="00AA3696">
              <w:rPr>
                <w:rFonts w:ascii="Arial" w:hAnsi="Arial" w:cs="Arial"/>
              </w:rPr>
              <w:t xml:space="preserve"> fails to obtain such remedy prior to </w:t>
            </w:r>
            <w:r>
              <w:rPr>
                <w:rFonts w:ascii="Arial" w:hAnsi="Arial" w:cs="Arial"/>
              </w:rPr>
              <w:t>Buyer’s</w:t>
            </w:r>
            <w:r w:rsidRPr="00AA3696">
              <w:rPr>
                <w:rFonts w:ascii="Arial" w:hAnsi="Arial" w:cs="Arial"/>
              </w:rPr>
              <w:t xml:space="preserve"> deadline for responding to the CPRA request, </w:t>
            </w:r>
            <w:r>
              <w:rPr>
                <w:rFonts w:ascii="Arial" w:hAnsi="Arial" w:cs="Arial"/>
              </w:rPr>
              <w:t>Seller</w:t>
            </w:r>
            <w:r w:rsidRPr="00AA3696">
              <w:rPr>
                <w:rFonts w:ascii="Arial" w:hAnsi="Arial" w:cs="Arial"/>
              </w:rPr>
              <w:t xml:space="preserve"> agrees that </w:t>
            </w:r>
            <w:r>
              <w:rPr>
                <w:rFonts w:ascii="Arial" w:hAnsi="Arial" w:cs="Arial"/>
              </w:rPr>
              <w:t>Buyer</w:t>
            </w:r>
            <w:r w:rsidRPr="00AA3696">
              <w:rPr>
                <w:rFonts w:ascii="Arial" w:hAnsi="Arial" w:cs="Arial"/>
              </w:rPr>
              <w:t xml:space="preserve"> may disclose the requested Confidential Information.  </w:t>
            </w:r>
            <w:r>
              <w:rPr>
                <w:rFonts w:ascii="Arial" w:hAnsi="Arial" w:cs="Arial"/>
              </w:rPr>
              <w:t>Seller</w:t>
            </w:r>
            <w:r w:rsidRPr="00AA3696">
              <w:rPr>
                <w:rFonts w:ascii="Arial" w:hAnsi="Arial" w:cs="Arial"/>
              </w:rPr>
              <w:t xml:space="preserve"> further agrees that </w:t>
            </w:r>
            <w:r>
              <w:rPr>
                <w:rFonts w:ascii="Arial" w:hAnsi="Arial" w:cs="Arial"/>
              </w:rPr>
              <w:t>Buyer</w:t>
            </w:r>
            <w:r w:rsidRPr="00AA3696">
              <w:rPr>
                <w:rFonts w:ascii="Arial" w:hAnsi="Arial" w:cs="Arial"/>
              </w:rPr>
              <w:t xml:space="preserve"> will not have any liability to </w:t>
            </w:r>
            <w:r>
              <w:rPr>
                <w:rFonts w:ascii="Arial" w:hAnsi="Arial" w:cs="Arial"/>
              </w:rPr>
              <w:t>Seller</w:t>
            </w:r>
            <w:r w:rsidRPr="00AA3696">
              <w:rPr>
                <w:rFonts w:ascii="Arial" w:hAnsi="Arial" w:cs="Arial"/>
              </w:rPr>
              <w:t xml:space="preserve"> arising out of any disclosure by </w:t>
            </w:r>
            <w:r>
              <w:rPr>
                <w:rFonts w:ascii="Arial" w:hAnsi="Arial" w:cs="Arial"/>
              </w:rPr>
              <w:t>Buyer</w:t>
            </w:r>
            <w:r w:rsidRPr="00AA3696">
              <w:rPr>
                <w:rFonts w:ascii="Arial" w:hAnsi="Arial" w:cs="Arial"/>
              </w:rPr>
              <w:t xml:space="preserve"> of any Confidential Information before </w:t>
            </w:r>
            <w:r>
              <w:rPr>
                <w:rFonts w:ascii="Arial" w:hAnsi="Arial" w:cs="Arial"/>
              </w:rPr>
              <w:t>Seller</w:t>
            </w:r>
            <w:r w:rsidRPr="00AA3696">
              <w:rPr>
                <w:rFonts w:ascii="Arial" w:hAnsi="Arial" w:cs="Arial"/>
              </w:rPr>
              <w:t xml:space="preserve"> has timely obtained an order, injunctive relief or other appropriate remedy to prevent </w:t>
            </w:r>
            <w:r>
              <w:rPr>
                <w:rFonts w:ascii="Arial" w:hAnsi="Arial" w:cs="Arial"/>
              </w:rPr>
              <w:t>Buyer</w:t>
            </w:r>
            <w:r w:rsidRPr="00AA3696">
              <w:rPr>
                <w:rFonts w:ascii="Arial" w:hAnsi="Arial" w:cs="Arial"/>
              </w:rPr>
              <w:t xml:space="preserve"> </w:t>
            </w:r>
            <w:r>
              <w:rPr>
                <w:rFonts w:ascii="Arial" w:hAnsi="Arial" w:cs="Arial"/>
              </w:rPr>
              <w:t>from making the requested third-</w:t>
            </w:r>
            <w:r w:rsidRPr="00AA3696">
              <w:rPr>
                <w:rFonts w:ascii="Arial" w:hAnsi="Arial" w:cs="Arial"/>
              </w:rPr>
              <w:t>party disclosure.</w:t>
            </w:r>
          </w:p>
          <w:p w14:paraId="6640A2D0" w14:textId="77777777" w:rsidR="00AA3696" w:rsidRDefault="00AA3696" w:rsidP="00AA3696">
            <w:pPr>
              <w:jc w:val="both"/>
              <w:rPr>
                <w:rFonts w:ascii="Arial" w:hAnsi="Arial" w:cs="Arial"/>
              </w:rPr>
            </w:pPr>
          </w:p>
          <w:p w14:paraId="0673224B" w14:textId="4BE954BE" w:rsidR="00084BE6" w:rsidRPr="00354814" w:rsidRDefault="00AA3696" w:rsidP="00084BE6">
            <w:pPr>
              <w:jc w:val="both"/>
              <w:rPr>
                <w:rFonts w:ascii="Arial" w:hAnsi="Arial" w:cs="Arial"/>
              </w:rPr>
            </w:pPr>
            <w:r>
              <w:rPr>
                <w:rFonts w:ascii="Arial" w:hAnsi="Arial" w:cs="Arial"/>
              </w:rPr>
              <w:t>B</w:t>
            </w:r>
            <w:r w:rsidR="00C67163" w:rsidRPr="00354814">
              <w:rPr>
                <w:rFonts w:ascii="Arial" w:hAnsi="Arial" w:cs="Arial"/>
              </w:rPr>
              <w:t xml:space="preserve">oth Parties may jointly agree to disclose the </w:t>
            </w:r>
            <w:r w:rsidR="00C67163">
              <w:rPr>
                <w:rFonts w:ascii="Arial" w:hAnsi="Arial" w:cs="Arial"/>
              </w:rPr>
              <w:t>terms contained in this t</w:t>
            </w:r>
            <w:r w:rsidR="00C67163" w:rsidRPr="00354814">
              <w:rPr>
                <w:rFonts w:ascii="Arial" w:hAnsi="Arial" w:cs="Arial"/>
              </w:rPr>
              <w:t xml:space="preserve">erm </w:t>
            </w:r>
            <w:r w:rsidR="00C67163">
              <w:rPr>
                <w:rFonts w:ascii="Arial" w:hAnsi="Arial" w:cs="Arial"/>
              </w:rPr>
              <w:t>s</w:t>
            </w:r>
            <w:r>
              <w:rPr>
                <w:rFonts w:ascii="Arial" w:hAnsi="Arial" w:cs="Arial"/>
              </w:rPr>
              <w:t>heet at any time, and</w:t>
            </w:r>
            <w:r w:rsidR="00C67163" w:rsidRPr="00354814">
              <w:rPr>
                <w:rFonts w:ascii="Arial" w:hAnsi="Arial" w:cs="Arial"/>
              </w:rPr>
              <w:t xml:space="preserve"> either Party, without the other Party’s approval, may disclose the terms contained in this Term Sheet to its’ agents, advisors, </w:t>
            </w:r>
            <w:r w:rsidR="00C67163">
              <w:rPr>
                <w:rFonts w:ascii="Arial" w:hAnsi="Arial" w:cs="Arial"/>
              </w:rPr>
              <w:t xml:space="preserve">board of directors, </w:t>
            </w:r>
            <w:r w:rsidR="00C67163" w:rsidRPr="00354814">
              <w:rPr>
                <w:rFonts w:ascii="Arial" w:hAnsi="Arial" w:cs="Arial"/>
              </w:rPr>
              <w:t>legal counsel, and/or investors, provided that the disclosing Party first makes any such third party aware of the stric</w:t>
            </w:r>
            <w:r w:rsidR="00C67163">
              <w:rPr>
                <w:rFonts w:ascii="Arial" w:hAnsi="Arial" w:cs="Arial"/>
              </w:rPr>
              <w:t>tly confidential nature of the t</w:t>
            </w:r>
            <w:r w:rsidR="00C67163" w:rsidRPr="00354814">
              <w:rPr>
                <w:rFonts w:ascii="Arial" w:hAnsi="Arial" w:cs="Arial"/>
              </w:rPr>
              <w:t xml:space="preserve">erm </w:t>
            </w:r>
            <w:r w:rsidR="00C67163">
              <w:rPr>
                <w:rFonts w:ascii="Arial" w:hAnsi="Arial" w:cs="Arial"/>
              </w:rPr>
              <w:t>s</w:t>
            </w:r>
            <w:r w:rsidR="00C67163" w:rsidRPr="00354814">
              <w:rPr>
                <w:rFonts w:ascii="Arial" w:hAnsi="Arial" w:cs="Arial"/>
              </w:rPr>
              <w:t xml:space="preserve">heet and that as a condition of obtaining any information about the Term Sheet, such third party agrees to maintain the confidentiality of the Term Sheet.  </w:t>
            </w:r>
          </w:p>
          <w:p w14:paraId="224DD2FC" w14:textId="77777777" w:rsidR="00084BE6" w:rsidRPr="004A17BB" w:rsidRDefault="00084BE6" w:rsidP="00AA3696">
            <w:pPr>
              <w:jc w:val="both"/>
              <w:rPr>
                <w:rFonts w:ascii="Arial" w:hAnsi="Arial" w:cs="Arial"/>
              </w:rPr>
            </w:pPr>
          </w:p>
        </w:tc>
      </w:tr>
      <w:tr w:rsidR="004D7834" w14:paraId="6478B06B" w14:textId="77777777" w:rsidTr="00084BE6">
        <w:tc>
          <w:tcPr>
            <w:tcW w:w="900" w:type="dxa"/>
          </w:tcPr>
          <w:p w14:paraId="026FD83A" w14:textId="77777777" w:rsidR="00084BE6" w:rsidRPr="004A17BB" w:rsidRDefault="00084BE6" w:rsidP="00084BE6">
            <w:pPr>
              <w:pStyle w:val="ListParagraph"/>
              <w:numPr>
                <w:ilvl w:val="0"/>
                <w:numId w:val="4"/>
              </w:numPr>
              <w:jc w:val="both"/>
              <w:rPr>
                <w:rFonts w:ascii="Arial" w:hAnsi="Arial" w:cs="Arial"/>
              </w:rPr>
            </w:pPr>
          </w:p>
        </w:tc>
        <w:tc>
          <w:tcPr>
            <w:tcW w:w="1800" w:type="dxa"/>
          </w:tcPr>
          <w:p w14:paraId="17C6E1A5" w14:textId="0D9F2693" w:rsidR="00084BE6" w:rsidRPr="004A17BB" w:rsidRDefault="00C67163">
            <w:pPr>
              <w:rPr>
                <w:rFonts w:ascii="Arial" w:hAnsi="Arial" w:cs="Arial"/>
              </w:rPr>
            </w:pPr>
            <w:r w:rsidRPr="004A17BB">
              <w:rPr>
                <w:rFonts w:ascii="Arial" w:hAnsi="Arial" w:cs="Arial"/>
              </w:rPr>
              <w:t>Governing Law</w:t>
            </w:r>
            <w:r w:rsidR="005313FA">
              <w:rPr>
                <w:rFonts w:ascii="Arial" w:hAnsi="Arial" w:cs="Arial"/>
              </w:rPr>
              <w:t xml:space="preserve"> and Venue</w:t>
            </w:r>
          </w:p>
        </w:tc>
        <w:tc>
          <w:tcPr>
            <w:tcW w:w="7020" w:type="dxa"/>
          </w:tcPr>
          <w:p w14:paraId="64F34A5D" w14:textId="729A7D7E" w:rsidR="00084BE6" w:rsidRPr="004A17BB" w:rsidRDefault="00C67163" w:rsidP="000D2204">
            <w:pPr>
              <w:jc w:val="both"/>
              <w:rPr>
                <w:rFonts w:ascii="Arial" w:hAnsi="Arial" w:cs="Arial"/>
              </w:rPr>
            </w:pPr>
            <w:r w:rsidRPr="004A17BB">
              <w:rPr>
                <w:rFonts w:ascii="Arial" w:hAnsi="Arial" w:cs="Arial"/>
              </w:rPr>
              <w:t>California</w:t>
            </w:r>
            <w:r w:rsidR="005313FA">
              <w:rPr>
                <w:rFonts w:ascii="Arial" w:hAnsi="Arial" w:cs="Arial"/>
              </w:rPr>
              <w:t>, Alameda County</w:t>
            </w:r>
          </w:p>
        </w:tc>
      </w:tr>
    </w:tbl>
    <w:p w14:paraId="0514E286" w14:textId="77777777" w:rsidR="00084BE6" w:rsidRPr="004A17BB" w:rsidRDefault="00084BE6" w:rsidP="00084BE6">
      <w:pPr>
        <w:pStyle w:val="ListParagraph"/>
        <w:rPr>
          <w:rFonts w:ascii="Arial" w:hAnsi="Arial" w:cs="Arial"/>
        </w:rPr>
      </w:pPr>
    </w:p>
    <w:sectPr w:rsidR="00084BE6" w:rsidRPr="004A17BB" w:rsidSect="00AF76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744B0" w14:textId="77777777" w:rsidR="00871993" w:rsidRDefault="00871993">
      <w:pPr>
        <w:spacing w:after="0" w:line="240" w:lineRule="auto"/>
      </w:pPr>
      <w:r>
        <w:separator/>
      </w:r>
    </w:p>
  </w:endnote>
  <w:endnote w:type="continuationSeparator" w:id="0">
    <w:p w14:paraId="79BE10E1" w14:textId="77777777" w:rsidR="00871993" w:rsidRDefault="0087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69A8" w14:textId="3B913EE7" w:rsidR="00681FF7" w:rsidRDefault="00751200">
    <w:pPr>
      <w:pStyle w:val="Footer"/>
      <w:jc w:val="center"/>
      <w:rPr>
        <w:noProof/>
      </w:rPr>
    </w:pPr>
    <w:sdt>
      <w:sdtPr>
        <w:id w:val="1960146502"/>
        <w:docPartObj>
          <w:docPartGallery w:val="Page Numbers (Bottom of Page)"/>
          <w:docPartUnique/>
        </w:docPartObj>
      </w:sdtPr>
      <w:sdtEndPr>
        <w:rPr>
          <w:noProof/>
        </w:rPr>
      </w:sdtEndPr>
      <w:sdtContent>
        <w:r w:rsidR="00681FF7">
          <w:fldChar w:fldCharType="begin"/>
        </w:r>
        <w:r w:rsidR="00681FF7">
          <w:instrText xml:space="preserve"> PAGE   \* MERGEFORMAT </w:instrText>
        </w:r>
        <w:r w:rsidR="00681FF7">
          <w:fldChar w:fldCharType="separate"/>
        </w:r>
        <w:r>
          <w:rPr>
            <w:noProof/>
          </w:rPr>
          <w:t>2</w:t>
        </w:r>
        <w:r w:rsidR="00681FF7">
          <w:rPr>
            <w:noProof/>
          </w:rPr>
          <w:fldChar w:fldCharType="end"/>
        </w:r>
      </w:sdtContent>
    </w:sdt>
  </w:p>
  <w:p w14:paraId="7CB62A38" w14:textId="77777777" w:rsidR="00681FF7" w:rsidRPr="00BE18B4" w:rsidRDefault="00681FF7" w:rsidP="00084B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BAEA" w14:textId="77777777" w:rsidR="00871993" w:rsidRDefault="00871993">
      <w:pPr>
        <w:spacing w:after="0" w:line="240" w:lineRule="auto"/>
      </w:pPr>
      <w:r>
        <w:separator/>
      </w:r>
    </w:p>
  </w:footnote>
  <w:footnote w:type="continuationSeparator" w:id="0">
    <w:p w14:paraId="39A02EC6" w14:textId="77777777" w:rsidR="00871993" w:rsidRDefault="0087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2A08"/>
    <w:multiLevelType w:val="hybridMultilevel"/>
    <w:tmpl w:val="5CC44476"/>
    <w:lvl w:ilvl="0" w:tplc="42C26206">
      <w:start w:val="1"/>
      <w:numFmt w:val="bullet"/>
      <w:lvlText w:val=""/>
      <w:lvlJc w:val="left"/>
      <w:pPr>
        <w:ind w:left="720" w:hanging="360"/>
      </w:pPr>
      <w:rPr>
        <w:rFonts w:ascii="Symbol" w:hAnsi="Symbol" w:hint="default"/>
      </w:rPr>
    </w:lvl>
    <w:lvl w:ilvl="1" w:tplc="D3FC222E" w:tentative="1">
      <w:start w:val="1"/>
      <w:numFmt w:val="bullet"/>
      <w:lvlText w:val="o"/>
      <w:lvlJc w:val="left"/>
      <w:pPr>
        <w:ind w:left="1440" w:hanging="360"/>
      </w:pPr>
      <w:rPr>
        <w:rFonts w:ascii="Courier New" w:hAnsi="Courier New" w:cs="Courier New" w:hint="default"/>
      </w:rPr>
    </w:lvl>
    <w:lvl w:ilvl="2" w:tplc="98768AF0" w:tentative="1">
      <w:start w:val="1"/>
      <w:numFmt w:val="bullet"/>
      <w:lvlText w:val=""/>
      <w:lvlJc w:val="left"/>
      <w:pPr>
        <w:ind w:left="2160" w:hanging="360"/>
      </w:pPr>
      <w:rPr>
        <w:rFonts w:ascii="Wingdings" w:hAnsi="Wingdings" w:hint="default"/>
      </w:rPr>
    </w:lvl>
    <w:lvl w:ilvl="3" w:tplc="A93A8DBA" w:tentative="1">
      <w:start w:val="1"/>
      <w:numFmt w:val="bullet"/>
      <w:lvlText w:val=""/>
      <w:lvlJc w:val="left"/>
      <w:pPr>
        <w:ind w:left="2880" w:hanging="360"/>
      </w:pPr>
      <w:rPr>
        <w:rFonts w:ascii="Symbol" w:hAnsi="Symbol" w:hint="default"/>
      </w:rPr>
    </w:lvl>
    <w:lvl w:ilvl="4" w:tplc="99DAD3E0" w:tentative="1">
      <w:start w:val="1"/>
      <w:numFmt w:val="bullet"/>
      <w:lvlText w:val="o"/>
      <w:lvlJc w:val="left"/>
      <w:pPr>
        <w:ind w:left="3600" w:hanging="360"/>
      </w:pPr>
      <w:rPr>
        <w:rFonts w:ascii="Courier New" w:hAnsi="Courier New" w:cs="Courier New" w:hint="default"/>
      </w:rPr>
    </w:lvl>
    <w:lvl w:ilvl="5" w:tplc="E1EA4A9E" w:tentative="1">
      <w:start w:val="1"/>
      <w:numFmt w:val="bullet"/>
      <w:lvlText w:val=""/>
      <w:lvlJc w:val="left"/>
      <w:pPr>
        <w:ind w:left="4320" w:hanging="360"/>
      </w:pPr>
      <w:rPr>
        <w:rFonts w:ascii="Wingdings" w:hAnsi="Wingdings" w:hint="default"/>
      </w:rPr>
    </w:lvl>
    <w:lvl w:ilvl="6" w:tplc="FCB8E5D0" w:tentative="1">
      <w:start w:val="1"/>
      <w:numFmt w:val="bullet"/>
      <w:lvlText w:val=""/>
      <w:lvlJc w:val="left"/>
      <w:pPr>
        <w:ind w:left="5040" w:hanging="360"/>
      </w:pPr>
      <w:rPr>
        <w:rFonts w:ascii="Symbol" w:hAnsi="Symbol" w:hint="default"/>
      </w:rPr>
    </w:lvl>
    <w:lvl w:ilvl="7" w:tplc="07328AE4" w:tentative="1">
      <w:start w:val="1"/>
      <w:numFmt w:val="bullet"/>
      <w:lvlText w:val="o"/>
      <w:lvlJc w:val="left"/>
      <w:pPr>
        <w:ind w:left="5760" w:hanging="360"/>
      </w:pPr>
      <w:rPr>
        <w:rFonts w:ascii="Courier New" w:hAnsi="Courier New" w:cs="Courier New" w:hint="default"/>
      </w:rPr>
    </w:lvl>
    <w:lvl w:ilvl="8" w:tplc="CD0486D0" w:tentative="1">
      <w:start w:val="1"/>
      <w:numFmt w:val="bullet"/>
      <w:lvlText w:val=""/>
      <w:lvlJc w:val="left"/>
      <w:pPr>
        <w:ind w:left="6480" w:hanging="360"/>
      </w:pPr>
      <w:rPr>
        <w:rFonts w:ascii="Wingdings" w:hAnsi="Wingdings" w:hint="default"/>
      </w:rPr>
    </w:lvl>
  </w:abstractNum>
  <w:abstractNum w:abstractNumId="1" w15:restartNumberingAfterBreak="0">
    <w:nsid w:val="30E5081B"/>
    <w:multiLevelType w:val="hybridMultilevel"/>
    <w:tmpl w:val="2684FBCE"/>
    <w:lvl w:ilvl="0" w:tplc="AEE2B74A">
      <w:start w:val="1"/>
      <w:numFmt w:val="bullet"/>
      <w:lvlText w:val=""/>
      <w:lvlJc w:val="left"/>
      <w:pPr>
        <w:ind w:left="720" w:hanging="360"/>
      </w:pPr>
      <w:rPr>
        <w:rFonts w:ascii="Symbol" w:hAnsi="Symbol" w:hint="default"/>
      </w:rPr>
    </w:lvl>
    <w:lvl w:ilvl="1" w:tplc="45564E6E" w:tentative="1">
      <w:start w:val="1"/>
      <w:numFmt w:val="bullet"/>
      <w:lvlText w:val="o"/>
      <w:lvlJc w:val="left"/>
      <w:pPr>
        <w:ind w:left="1440" w:hanging="360"/>
      </w:pPr>
      <w:rPr>
        <w:rFonts w:ascii="Courier New" w:hAnsi="Courier New" w:cs="Courier New" w:hint="default"/>
      </w:rPr>
    </w:lvl>
    <w:lvl w:ilvl="2" w:tplc="34A632FC" w:tentative="1">
      <w:start w:val="1"/>
      <w:numFmt w:val="bullet"/>
      <w:lvlText w:val=""/>
      <w:lvlJc w:val="left"/>
      <w:pPr>
        <w:ind w:left="2160" w:hanging="360"/>
      </w:pPr>
      <w:rPr>
        <w:rFonts w:ascii="Wingdings" w:hAnsi="Wingdings" w:hint="default"/>
      </w:rPr>
    </w:lvl>
    <w:lvl w:ilvl="3" w:tplc="33BE76C6" w:tentative="1">
      <w:start w:val="1"/>
      <w:numFmt w:val="bullet"/>
      <w:lvlText w:val=""/>
      <w:lvlJc w:val="left"/>
      <w:pPr>
        <w:ind w:left="2880" w:hanging="360"/>
      </w:pPr>
      <w:rPr>
        <w:rFonts w:ascii="Symbol" w:hAnsi="Symbol" w:hint="default"/>
      </w:rPr>
    </w:lvl>
    <w:lvl w:ilvl="4" w:tplc="E5185968" w:tentative="1">
      <w:start w:val="1"/>
      <w:numFmt w:val="bullet"/>
      <w:lvlText w:val="o"/>
      <w:lvlJc w:val="left"/>
      <w:pPr>
        <w:ind w:left="3600" w:hanging="360"/>
      </w:pPr>
      <w:rPr>
        <w:rFonts w:ascii="Courier New" w:hAnsi="Courier New" w:cs="Courier New" w:hint="default"/>
      </w:rPr>
    </w:lvl>
    <w:lvl w:ilvl="5" w:tplc="75547212" w:tentative="1">
      <w:start w:val="1"/>
      <w:numFmt w:val="bullet"/>
      <w:lvlText w:val=""/>
      <w:lvlJc w:val="left"/>
      <w:pPr>
        <w:ind w:left="4320" w:hanging="360"/>
      </w:pPr>
      <w:rPr>
        <w:rFonts w:ascii="Wingdings" w:hAnsi="Wingdings" w:hint="default"/>
      </w:rPr>
    </w:lvl>
    <w:lvl w:ilvl="6" w:tplc="8CE6BE0E" w:tentative="1">
      <w:start w:val="1"/>
      <w:numFmt w:val="bullet"/>
      <w:lvlText w:val=""/>
      <w:lvlJc w:val="left"/>
      <w:pPr>
        <w:ind w:left="5040" w:hanging="360"/>
      </w:pPr>
      <w:rPr>
        <w:rFonts w:ascii="Symbol" w:hAnsi="Symbol" w:hint="default"/>
      </w:rPr>
    </w:lvl>
    <w:lvl w:ilvl="7" w:tplc="D69A5A98" w:tentative="1">
      <w:start w:val="1"/>
      <w:numFmt w:val="bullet"/>
      <w:lvlText w:val="o"/>
      <w:lvlJc w:val="left"/>
      <w:pPr>
        <w:ind w:left="5760" w:hanging="360"/>
      </w:pPr>
      <w:rPr>
        <w:rFonts w:ascii="Courier New" w:hAnsi="Courier New" w:cs="Courier New" w:hint="default"/>
      </w:rPr>
    </w:lvl>
    <w:lvl w:ilvl="8" w:tplc="CD804C40" w:tentative="1">
      <w:start w:val="1"/>
      <w:numFmt w:val="bullet"/>
      <w:lvlText w:val=""/>
      <w:lvlJc w:val="left"/>
      <w:pPr>
        <w:ind w:left="6480" w:hanging="360"/>
      </w:pPr>
      <w:rPr>
        <w:rFonts w:ascii="Wingdings" w:hAnsi="Wingdings" w:hint="default"/>
      </w:rPr>
    </w:lvl>
  </w:abstractNum>
  <w:abstractNum w:abstractNumId="2" w15:restartNumberingAfterBreak="0">
    <w:nsid w:val="34155A5E"/>
    <w:multiLevelType w:val="hybridMultilevel"/>
    <w:tmpl w:val="320A21D8"/>
    <w:lvl w:ilvl="0" w:tplc="CDAA7CC0">
      <w:start w:val="1"/>
      <w:numFmt w:val="bullet"/>
      <w:lvlText w:val=""/>
      <w:lvlJc w:val="left"/>
      <w:pPr>
        <w:ind w:left="720" w:hanging="360"/>
      </w:pPr>
      <w:rPr>
        <w:rFonts w:ascii="Symbol" w:hAnsi="Symbol" w:hint="default"/>
      </w:rPr>
    </w:lvl>
    <w:lvl w:ilvl="1" w:tplc="362EDBF0" w:tentative="1">
      <w:start w:val="1"/>
      <w:numFmt w:val="bullet"/>
      <w:lvlText w:val="o"/>
      <w:lvlJc w:val="left"/>
      <w:pPr>
        <w:ind w:left="1440" w:hanging="360"/>
      </w:pPr>
      <w:rPr>
        <w:rFonts w:ascii="Courier New" w:hAnsi="Courier New" w:cs="Courier New" w:hint="default"/>
      </w:rPr>
    </w:lvl>
    <w:lvl w:ilvl="2" w:tplc="2942227C" w:tentative="1">
      <w:start w:val="1"/>
      <w:numFmt w:val="bullet"/>
      <w:lvlText w:val=""/>
      <w:lvlJc w:val="left"/>
      <w:pPr>
        <w:ind w:left="2160" w:hanging="360"/>
      </w:pPr>
      <w:rPr>
        <w:rFonts w:ascii="Wingdings" w:hAnsi="Wingdings" w:hint="default"/>
      </w:rPr>
    </w:lvl>
    <w:lvl w:ilvl="3" w:tplc="7C22C952" w:tentative="1">
      <w:start w:val="1"/>
      <w:numFmt w:val="bullet"/>
      <w:lvlText w:val=""/>
      <w:lvlJc w:val="left"/>
      <w:pPr>
        <w:ind w:left="2880" w:hanging="360"/>
      </w:pPr>
      <w:rPr>
        <w:rFonts w:ascii="Symbol" w:hAnsi="Symbol" w:hint="default"/>
      </w:rPr>
    </w:lvl>
    <w:lvl w:ilvl="4" w:tplc="F8E03804" w:tentative="1">
      <w:start w:val="1"/>
      <w:numFmt w:val="bullet"/>
      <w:lvlText w:val="o"/>
      <w:lvlJc w:val="left"/>
      <w:pPr>
        <w:ind w:left="3600" w:hanging="360"/>
      </w:pPr>
      <w:rPr>
        <w:rFonts w:ascii="Courier New" w:hAnsi="Courier New" w:cs="Courier New" w:hint="default"/>
      </w:rPr>
    </w:lvl>
    <w:lvl w:ilvl="5" w:tplc="6A442E6C" w:tentative="1">
      <w:start w:val="1"/>
      <w:numFmt w:val="bullet"/>
      <w:lvlText w:val=""/>
      <w:lvlJc w:val="left"/>
      <w:pPr>
        <w:ind w:left="4320" w:hanging="360"/>
      </w:pPr>
      <w:rPr>
        <w:rFonts w:ascii="Wingdings" w:hAnsi="Wingdings" w:hint="default"/>
      </w:rPr>
    </w:lvl>
    <w:lvl w:ilvl="6" w:tplc="569E4C76" w:tentative="1">
      <w:start w:val="1"/>
      <w:numFmt w:val="bullet"/>
      <w:lvlText w:val=""/>
      <w:lvlJc w:val="left"/>
      <w:pPr>
        <w:ind w:left="5040" w:hanging="360"/>
      </w:pPr>
      <w:rPr>
        <w:rFonts w:ascii="Symbol" w:hAnsi="Symbol" w:hint="default"/>
      </w:rPr>
    </w:lvl>
    <w:lvl w:ilvl="7" w:tplc="AAB2E234" w:tentative="1">
      <w:start w:val="1"/>
      <w:numFmt w:val="bullet"/>
      <w:lvlText w:val="o"/>
      <w:lvlJc w:val="left"/>
      <w:pPr>
        <w:ind w:left="5760" w:hanging="360"/>
      </w:pPr>
      <w:rPr>
        <w:rFonts w:ascii="Courier New" w:hAnsi="Courier New" w:cs="Courier New" w:hint="default"/>
      </w:rPr>
    </w:lvl>
    <w:lvl w:ilvl="8" w:tplc="764267E4" w:tentative="1">
      <w:start w:val="1"/>
      <w:numFmt w:val="bullet"/>
      <w:lvlText w:val=""/>
      <w:lvlJc w:val="left"/>
      <w:pPr>
        <w:ind w:left="6480" w:hanging="360"/>
      </w:pPr>
      <w:rPr>
        <w:rFonts w:ascii="Wingdings" w:hAnsi="Wingdings" w:hint="default"/>
      </w:rPr>
    </w:lvl>
  </w:abstractNum>
  <w:abstractNum w:abstractNumId="3" w15:restartNumberingAfterBreak="0">
    <w:nsid w:val="35483686"/>
    <w:multiLevelType w:val="hybridMultilevel"/>
    <w:tmpl w:val="0688F348"/>
    <w:lvl w:ilvl="0" w:tplc="4BFA47C0">
      <w:start w:val="1"/>
      <w:numFmt w:val="bullet"/>
      <w:lvlText w:val=""/>
      <w:lvlJc w:val="left"/>
      <w:pPr>
        <w:ind w:left="720" w:hanging="360"/>
      </w:pPr>
      <w:rPr>
        <w:rFonts w:ascii="Symbol" w:hAnsi="Symbol" w:hint="default"/>
      </w:rPr>
    </w:lvl>
    <w:lvl w:ilvl="1" w:tplc="FB7C602A" w:tentative="1">
      <w:start w:val="1"/>
      <w:numFmt w:val="bullet"/>
      <w:lvlText w:val="o"/>
      <w:lvlJc w:val="left"/>
      <w:pPr>
        <w:ind w:left="1440" w:hanging="360"/>
      </w:pPr>
      <w:rPr>
        <w:rFonts w:ascii="Courier New" w:hAnsi="Courier New" w:cs="Courier New" w:hint="default"/>
      </w:rPr>
    </w:lvl>
    <w:lvl w:ilvl="2" w:tplc="BA88A134" w:tentative="1">
      <w:start w:val="1"/>
      <w:numFmt w:val="bullet"/>
      <w:lvlText w:val=""/>
      <w:lvlJc w:val="left"/>
      <w:pPr>
        <w:ind w:left="2160" w:hanging="360"/>
      </w:pPr>
      <w:rPr>
        <w:rFonts w:ascii="Wingdings" w:hAnsi="Wingdings" w:hint="default"/>
      </w:rPr>
    </w:lvl>
    <w:lvl w:ilvl="3" w:tplc="C3C6149E" w:tentative="1">
      <w:start w:val="1"/>
      <w:numFmt w:val="bullet"/>
      <w:lvlText w:val=""/>
      <w:lvlJc w:val="left"/>
      <w:pPr>
        <w:ind w:left="2880" w:hanging="360"/>
      </w:pPr>
      <w:rPr>
        <w:rFonts w:ascii="Symbol" w:hAnsi="Symbol" w:hint="default"/>
      </w:rPr>
    </w:lvl>
    <w:lvl w:ilvl="4" w:tplc="37CCD88A" w:tentative="1">
      <w:start w:val="1"/>
      <w:numFmt w:val="bullet"/>
      <w:lvlText w:val="o"/>
      <w:lvlJc w:val="left"/>
      <w:pPr>
        <w:ind w:left="3600" w:hanging="360"/>
      </w:pPr>
      <w:rPr>
        <w:rFonts w:ascii="Courier New" w:hAnsi="Courier New" w:cs="Courier New" w:hint="default"/>
      </w:rPr>
    </w:lvl>
    <w:lvl w:ilvl="5" w:tplc="DF2AEA06" w:tentative="1">
      <w:start w:val="1"/>
      <w:numFmt w:val="bullet"/>
      <w:lvlText w:val=""/>
      <w:lvlJc w:val="left"/>
      <w:pPr>
        <w:ind w:left="4320" w:hanging="360"/>
      </w:pPr>
      <w:rPr>
        <w:rFonts w:ascii="Wingdings" w:hAnsi="Wingdings" w:hint="default"/>
      </w:rPr>
    </w:lvl>
    <w:lvl w:ilvl="6" w:tplc="74401BB6" w:tentative="1">
      <w:start w:val="1"/>
      <w:numFmt w:val="bullet"/>
      <w:lvlText w:val=""/>
      <w:lvlJc w:val="left"/>
      <w:pPr>
        <w:ind w:left="5040" w:hanging="360"/>
      </w:pPr>
      <w:rPr>
        <w:rFonts w:ascii="Symbol" w:hAnsi="Symbol" w:hint="default"/>
      </w:rPr>
    </w:lvl>
    <w:lvl w:ilvl="7" w:tplc="76028B4C" w:tentative="1">
      <w:start w:val="1"/>
      <w:numFmt w:val="bullet"/>
      <w:lvlText w:val="o"/>
      <w:lvlJc w:val="left"/>
      <w:pPr>
        <w:ind w:left="5760" w:hanging="360"/>
      </w:pPr>
      <w:rPr>
        <w:rFonts w:ascii="Courier New" w:hAnsi="Courier New" w:cs="Courier New" w:hint="default"/>
      </w:rPr>
    </w:lvl>
    <w:lvl w:ilvl="8" w:tplc="79122558" w:tentative="1">
      <w:start w:val="1"/>
      <w:numFmt w:val="bullet"/>
      <w:lvlText w:val=""/>
      <w:lvlJc w:val="left"/>
      <w:pPr>
        <w:ind w:left="6480" w:hanging="360"/>
      </w:pPr>
      <w:rPr>
        <w:rFonts w:ascii="Wingdings" w:hAnsi="Wingdings" w:hint="default"/>
      </w:rPr>
    </w:lvl>
  </w:abstractNum>
  <w:abstractNum w:abstractNumId="4" w15:restartNumberingAfterBreak="0">
    <w:nsid w:val="35937809"/>
    <w:multiLevelType w:val="hybridMultilevel"/>
    <w:tmpl w:val="75DC0EA6"/>
    <w:lvl w:ilvl="0" w:tplc="0A42E07A">
      <w:start w:val="1"/>
      <w:numFmt w:val="decimal"/>
      <w:lvlText w:val="%1."/>
      <w:lvlJc w:val="left"/>
      <w:pPr>
        <w:ind w:left="720" w:hanging="360"/>
      </w:pPr>
    </w:lvl>
    <w:lvl w:ilvl="1" w:tplc="53BE3124" w:tentative="1">
      <w:start w:val="1"/>
      <w:numFmt w:val="lowerLetter"/>
      <w:lvlText w:val="%2."/>
      <w:lvlJc w:val="left"/>
      <w:pPr>
        <w:ind w:left="1440" w:hanging="360"/>
      </w:pPr>
    </w:lvl>
    <w:lvl w:ilvl="2" w:tplc="B8449C12" w:tentative="1">
      <w:start w:val="1"/>
      <w:numFmt w:val="lowerRoman"/>
      <w:lvlText w:val="%3."/>
      <w:lvlJc w:val="right"/>
      <w:pPr>
        <w:ind w:left="2160" w:hanging="180"/>
      </w:pPr>
    </w:lvl>
    <w:lvl w:ilvl="3" w:tplc="F1980446" w:tentative="1">
      <w:start w:val="1"/>
      <w:numFmt w:val="decimal"/>
      <w:lvlText w:val="%4."/>
      <w:lvlJc w:val="left"/>
      <w:pPr>
        <w:ind w:left="2880" w:hanging="360"/>
      </w:pPr>
    </w:lvl>
    <w:lvl w:ilvl="4" w:tplc="55BA1FE0" w:tentative="1">
      <w:start w:val="1"/>
      <w:numFmt w:val="lowerLetter"/>
      <w:lvlText w:val="%5."/>
      <w:lvlJc w:val="left"/>
      <w:pPr>
        <w:ind w:left="3600" w:hanging="360"/>
      </w:pPr>
    </w:lvl>
    <w:lvl w:ilvl="5" w:tplc="141E1C68" w:tentative="1">
      <w:start w:val="1"/>
      <w:numFmt w:val="lowerRoman"/>
      <w:lvlText w:val="%6."/>
      <w:lvlJc w:val="right"/>
      <w:pPr>
        <w:ind w:left="4320" w:hanging="180"/>
      </w:pPr>
    </w:lvl>
    <w:lvl w:ilvl="6" w:tplc="231646EA" w:tentative="1">
      <w:start w:val="1"/>
      <w:numFmt w:val="decimal"/>
      <w:lvlText w:val="%7."/>
      <w:lvlJc w:val="left"/>
      <w:pPr>
        <w:ind w:left="5040" w:hanging="360"/>
      </w:pPr>
    </w:lvl>
    <w:lvl w:ilvl="7" w:tplc="FBE63B60" w:tentative="1">
      <w:start w:val="1"/>
      <w:numFmt w:val="lowerLetter"/>
      <w:lvlText w:val="%8."/>
      <w:lvlJc w:val="left"/>
      <w:pPr>
        <w:ind w:left="5760" w:hanging="360"/>
      </w:pPr>
    </w:lvl>
    <w:lvl w:ilvl="8" w:tplc="23DE4658" w:tentative="1">
      <w:start w:val="1"/>
      <w:numFmt w:val="lowerRoman"/>
      <w:lvlText w:val="%9."/>
      <w:lvlJc w:val="right"/>
      <w:pPr>
        <w:ind w:left="6480" w:hanging="180"/>
      </w:pPr>
    </w:lvl>
  </w:abstractNum>
  <w:abstractNum w:abstractNumId="5" w15:restartNumberingAfterBreak="0">
    <w:nsid w:val="40623D14"/>
    <w:multiLevelType w:val="hybridMultilevel"/>
    <w:tmpl w:val="76B448FE"/>
    <w:lvl w:ilvl="0" w:tplc="8A6E35C2">
      <w:start w:val="1"/>
      <w:numFmt w:val="decimal"/>
      <w:lvlText w:val="%1."/>
      <w:lvlJc w:val="left"/>
      <w:pPr>
        <w:ind w:left="720" w:hanging="360"/>
      </w:pPr>
      <w:rPr>
        <w:rFonts w:hint="default"/>
      </w:rPr>
    </w:lvl>
    <w:lvl w:ilvl="1" w:tplc="99EC9FA4" w:tentative="1">
      <w:start w:val="1"/>
      <w:numFmt w:val="lowerLetter"/>
      <w:lvlText w:val="%2."/>
      <w:lvlJc w:val="left"/>
      <w:pPr>
        <w:ind w:left="1440" w:hanging="360"/>
      </w:pPr>
    </w:lvl>
    <w:lvl w:ilvl="2" w:tplc="E5847DF6" w:tentative="1">
      <w:start w:val="1"/>
      <w:numFmt w:val="lowerRoman"/>
      <w:lvlText w:val="%3."/>
      <w:lvlJc w:val="right"/>
      <w:pPr>
        <w:ind w:left="2160" w:hanging="180"/>
      </w:pPr>
    </w:lvl>
    <w:lvl w:ilvl="3" w:tplc="DFD0C0BE" w:tentative="1">
      <w:start w:val="1"/>
      <w:numFmt w:val="decimal"/>
      <w:lvlText w:val="%4."/>
      <w:lvlJc w:val="left"/>
      <w:pPr>
        <w:ind w:left="2880" w:hanging="360"/>
      </w:pPr>
    </w:lvl>
    <w:lvl w:ilvl="4" w:tplc="D1B4649A" w:tentative="1">
      <w:start w:val="1"/>
      <w:numFmt w:val="lowerLetter"/>
      <w:lvlText w:val="%5."/>
      <w:lvlJc w:val="left"/>
      <w:pPr>
        <w:ind w:left="3600" w:hanging="360"/>
      </w:pPr>
    </w:lvl>
    <w:lvl w:ilvl="5" w:tplc="080C30C6" w:tentative="1">
      <w:start w:val="1"/>
      <w:numFmt w:val="lowerRoman"/>
      <w:lvlText w:val="%6."/>
      <w:lvlJc w:val="right"/>
      <w:pPr>
        <w:ind w:left="4320" w:hanging="180"/>
      </w:pPr>
    </w:lvl>
    <w:lvl w:ilvl="6" w:tplc="769837F4" w:tentative="1">
      <w:start w:val="1"/>
      <w:numFmt w:val="decimal"/>
      <w:lvlText w:val="%7."/>
      <w:lvlJc w:val="left"/>
      <w:pPr>
        <w:ind w:left="5040" w:hanging="360"/>
      </w:pPr>
    </w:lvl>
    <w:lvl w:ilvl="7" w:tplc="DE32A4C6" w:tentative="1">
      <w:start w:val="1"/>
      <w:numFmt w:val="lowerLetter"/>
      <w:lvlText w:val="%8."/>
      <w:lvlJc w:val="left"/>
      <w:pPr>
        <w:ind w:left="5760" w:hanging="360"/>
      </w:pPr>
    </w:lvl>
    <w:lvl w:ilvl="8" w:tplc="CB507892" w:tentative="1">
      <w:start w:val="1"/>
      <w:numFmt w:val="lowerRoman"/>
      <w:lvlText w:val="%9."/>
      <w:lvlJc w:val="right"/>
      <w:pPr>
        <w:ind w:left="6480" w:hanging="180"/>
      </w:pPr>
    </w:lvl>
  </w:abstractNum>
  <w:abstractNum w:abstractNumId="6" w15:restartNumberingAfterBreak="0">
    <w:nsid w:val="4B2A4528"/>
    <w:multiLevelType w:val="hybridMultilevel"/>
    <w:tmpl w:val="60FC1640"/>
    <w:lvl w:ilvl="0" w:tplc="8D0A244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7759C"/>
    <w:multiLevelType w:val="hybridMultilevel"/>
    <w:tmpl w:val="58FE79BC"/>
    <w:lvl w:ilvl="0" w:tplc="5290B476">
      <w:start w:val="1"/>
      <w:numFmt w:val="bullet"/>
      <w:lvlText w:val=""/>
      <w:lvlJc w:val="left"/>
      <w:pPr>
        <w:ind w:left="720" w:hanging="360"/>
      </w:pPr>
      <w:rPr>
        <w:rFonts w:ascii="Symbol" w:hAnsi="Symbol" w:hint="default"/>
      </w:rPr>
    </w:lvl>
    <w:lvl w:ilvl="1" w:tplc="8E6086B6" w:tentative="1">
      <w:start w:val="1"/>
      <w:numFmt w:val="bullet"/>
      <w:lvlText w:val="o"/>
      <w:lvlJc w:val="left"/>
      <w:pPr>
        <w:ind w:left="1440" w:hanging="360"/>
      </w:pPr>
      <w:rPr>
        <w:rFonts w:ascii="Courier New" w:hAnsi="Courier New" w:cs="Courier New" w:hint="default"/>
      </w:rPr>
    </w:lvl>
    <w:lvl w:ilvl="2" w:tplc="82321ADE" w:tentative="1">
      <w:start w:val="1"/>
      <w:numFmt w:val="bullet"/>
      <w:lvlText w:val=""/>
      <w:lvlJc w:val="left"/>
      <w:pPr>
        <w:ind w:left="2160" w:hanging="360"/>
      </w:pPr>
      <w:rPr>
        <w:rFonts w:ascii="Wingdings" w:hAnsi="Wingdings" w:hint="default"/>
      </w:rPr>
    </w:lvl>
    <w:lvl w:ilvl="3" w:tplc="FA4496E4" w:tentative="1">
      <w:start w:val="1"/>
      <w:numFmt w:val="bullet"/>
      <w:lvlText w:val=""/>
      <w:lvlJc w:val="left"/>
      <w:pPr>
        <w:ind w:left="2880" w:hanging="360"/>
      </w:pPr>
      <w:rPr>
        <w:rFonts w:ascii="Symbol" w:hAnsi="Symbol" w:hint="default"/>
      </w:rPr>
    </w:lvl>
    <w:lvl w:ilvl="4" w:tplc="40B252DC" w:tentative="1">
      <w:start w:val="1"/>
      <w:numFmt w:val="bullet"/>
      <w:lvlText w:val="o"/>
      <w:lvlJc w:val="left"/>
      <w:pPr>
        <w:ind w:left="3600" w:hanging="360"/>
      </w:pPr>
      <w:rPr>
        <w:rFonts w:ascii="Courier New" w:hAnsi="Courier New" w:cs="Courier New" w:hint="default"/>
      </w:rPr>
    </w:lvl>
    <w:lvl w:ilvl="5" w:tplc="3F06455C" w:tentative="1">
      <w:start w:val="1"/>
      <w:numFmt w:val="bullet"/>
      <w:lvlText w:val=""/>
      <w:lvlJc w:val="left"/>
      <w:pPr>
        <w:ind w:left="4320" w:hanging="360"/>
      </w:pPr>
      <w:rPr>
        <w:rFonts w:ascii="Wingdings" w:hAnsi="Wingdings" w:hint="default"/>
      </w:rPr>
    </w:lvl>
    <w:lvl w:ilvl="6" w:tplc="325A06E8" w:tentative="1">
      <w:start w:val="1"/>
      <w:numFmt w:val="bullet"/>
      <w:lvlText w:val=""/>
      <w:lvlJc w:val="left"/>
      <w:pPr>
        <w:ind w:left="5040" w:hanging="360"/>
      </w:pPr>
      <w:rPr>
        <w:rFonts w:ascii="Symbol" w:hAnsi="Symbol" w:hint="default"/>
      </w:rPr>
    </w:lvl>
    <w:lvl w:ilvl="7" w:tplc="30801CC0" w:tentative="1">
      <w:start w:val="1"/>
      <w:numFmt w:val="bullet"/>
      <w:lvlText w:val="o"/>
      <w:lvlJc w:val="left"/>
      <w:pPr>
        <w:ind w:left="5760" w:hanging="360"/>
      </w:pPr>
      <w:rPr>
        <w:rFonts w:ascii="Courier New" w:hAnsi="Courier New" w:cs="Courier New" w:hint="default"/>
      </w:rPr>
    </w:lvl>
    <w:lvl w:ilvl="8" w:tplc="48E4BCEC" w:tentative="1">
      <w:start w:val="1"/>
      <w:numFmt w:val="bullet"/>
      <w:lvlText w:val=""/>
      <w:lvlJc w:val="left"/>
      <w:pPr>
        <w:ind w:left="6480" w:hanging="360"/>
      </w:pPr>
      <w:rPr>
        <w:rFonts w:ascii="Wingdings" w:hAnsi="Wingdings" w:hint="default"/>
      </w:rPr>
    </w:lvl>
  </w:abstractNum>
  <w:abstractNum w:abstractNumId="8" w15:restartNumberingAfterBreak="0">
    <w:nsid w:val="5AF112AA"/>
    <w:multiLevelType w:val="hybridMultilevel"/>
    <w:tmpl w:val="8C4488A8"/>
    <w:lvl w:ilvl="0" w:tplc="AC54BE32">
      <w:start w:val="1"/>
      <w:numFmt w:val="bullet"/>
      <w:lvlText w:val=""/>
      <w:lvlJc w:val="left"/>
      <w:pPr>
        <w:ind w:left="720" w:hanging="360"/>
      </w:pPr>
      <w:rPr>
        <w:rFonts w:ascii="Symbol" w:hAnsi="Symbol" w:hint="default"/>
      </w:rPr>
    </w:lvl>
    <w:lvl w:ilvl="1" w:tplc="03CCFA60" w:tentative="1">
      <w:start w:val="1"/>
      <w:numFmt w:val="bullet"/>
      <w:lvlText w:val="o"/>
      <w:lvlJc w:val="left"/>
      <w:pPr>
        <w:ind w:left="1440" w:hanging="360"/>
      </w:pPr>
      <w:rPr>
        <w:rFonts w:ascii="Courier New" w:hAnsi="Courier New" w:cs="Courier New" w:hint="default"/>
      </w:rPr>
    </w:lvl>
    <w:lvl w:ilvl="2" w:tplc="EC24E0FE" w:tentative="1">
      <w:start w:val="1"/>
      <w:numFmt w:val="bullet"/>
      <w:lvlText w:val=""/>
      <w:lvlJc w:val="left"/>
      <w:pPr>
        <w:ind w:left="2160" w:hanging="360"/>
      </w:pPr>
      <w:rPr>
        <w:rFonts w:ascii="Wingdings" w:hAnsi="Wingdings" w:hint="default"/>
      </w:rPr>
    </w:lvl>
    <w:lvl w:ilvl="3" w:tplc="041E5E78" w:tentative="1">
      <w:start w:val="1"/>
      <w:numFmt w:val="bullet"/>
      <w:lvlText w:val=""/>
      <w:lvlJc w:val="left"/>
      <w:pPr>
        <w:ind w:left="2880" w:hanging="360"/>
      </w:pPr>
      <w:rPr>
        <w:rFonts w:ascii="Symbol" w:hAnsi="Symbol" w:hint="default"/>
      </w:rPr>
    </w:lvl>
    <w:lvl w:ilvl="4" w:tplc="79A402C0" w:tentative="1">
      <w:start w:val="1"/>
      <w:numFmt w:val="bullet"/>
      <w:lvlText w:val="o"/>
      <w:lvlJc w:val="left"/>
      <w:pPr>
        <w:ind w:left="3600" w:hanging="360"/>
      </w:pPr>
      <w:rPr>
        <w:rFonts w:ascii="Courier New" w:hAnsi="Courier New" w:cs="Courier New" w:hint="default"/>
      </w:rPr>
    </w:lvl>
    <w:lvl w:ilvl="5" w:tplc="BD46A738" w:tentative="1">
      <w:start w:val="1"/>
      <w:numFmt w:val="bullet"/>
      <w:lvlText w:val=""/>
      <w:lvlJc w:val="left"/>
      <w:pPr>
        <w:ind w:left="4320" w:hanging="360"/>
      </w:pPr>
      <w:rPr>
        <w:rFonts w:ascii="Wingdings" w:hAnsi="Wingdings" w:hint="default"/>
      </w:rPr>
    </w:lvl>
    <w:lvl w:ilvl="6" w:tplc="B786351A" w:tentative="1">
      <w:start w:val="1"/>
      <w:numFmt w:val="bullet"/>
      <w:lvlText w:val=""/>
      <w:lvlJc w:val="left"/>
      <w:pPr>
        <w:ind w:left="5040" w:hanging="360"/>
      </w:pPr>
      <w:rPr>
        <w:rFonts w:ascii="Symbol" w:hAnsi="Symbol" w:hint="default"/>
      </w:rPr>
    </w:lvl>
    <w:lvl w:ilvl="7" w:tplc="A942D996" w:tentative="1">
      <w:start w:val="1"/>
      <w:numFmt w:val="bullet"/>
      <w:lvlText w:val="o"/>
      <w:lvlJc w:val="left"/>
      <w:pPr>
        <w:ind w:left="5760" w:hanging="360"/>
      </w:pPr>
      <w:rPr>
        <w:rFonts w:ascii="Courier New" w:hAnsi="Courier New" w:cs="Courier New" w:hint="default"/>
      </w:rPr>
    </w:lvl>
    <w:lvl w:ilvl="8" w:tplc="04769A6A" w:tentative="1">
      <w:start w:val="1"/>
      <w:numFmt w:val="bullet"/>
      <w:lvlText w:val=""/>
      <w:lvlJc w:val="left"/>
      <w:pPr>
        <w:ind w:left="6480" w:hanging="360"/>
      </w:pPr>
      <w:rPr>
        <w:rFonts w:ascii="Wingdings" w:hAnsi="Wingdings" w:hint="default"/>
      </w:rPr>
    </w:lvl>
  </w:abstractNum>
  <w:abstractNum w:abstractNumId="9" w15:restartNumberingAfterBreak="0">
    <w:nsid w:val="67C1255B"/>
    <w:multiLevelType w:val="hybridMultilevel"/>
    <w:tmpl w:val="46F8F6AC"/>
    <w:lvl w:ilvl="0" w:tplc="A800A41A">
      <w:start w:val="1"/>
      <w:numFmt w:val="lowerRoman"/>
      <w:lvlText w:val="(%1)"/>
      <w:lvlJc w:val="left"/>
      <w:pPr>
        <w:ind w:left="1080" w:hanging="720"/>
      </w:pPr>
      <w:rPr>
        <w:rFonts w:hint="default"/>
      </w:rPr>
    </w:lvl>
    <w:lvl w:ilvl="1" w:tplc="22E401C2" w:tentative="1">
      <w:start w:val="1"/>
      <w:numFmt w:val="lowerLetter"/>
      <w:lvlText w:val="%2."/>
      <w:lvlJc w:val="left"/>
      <w:pPr>
        <w:ind w:left="1440" w:hanging="360"/>
      </w:pPr>
    </w:lvl>
    <w:lvl w:ilvl="2" w:tplc="CFBE31F8" w:tentative="1">
      <w:start w:val="1"/>
      <w:numFmt w:val="lowerRoman"/>
      <w:lvlText w:val="%3."/>
      <w:lvlJc w:val="right"/>
      <w:pPr>
        <w:ind w:left="2160" w:hanging="180"/>
      </w:pPr>
    </w:lvl>
    <w:lvl w:ilvl="3" w:tplc="532AFF24" w:tentative="1">
      <w:start w:val="1"/>
      <w:numFmt w:val="decimal"/>
      <w:lvlText w:val="%4."/>
      <w:lvlJc w:val="left"/>
      <w:pPr>
        <w:ind w:left="2880" w:hanging="360"/>
      </w:pPr>
    </w:lvl>
    <w:lvl w:ilvl="4" w:tplc="CA0E0FF4" w:tentative="1">
      <w:start w:val="1"/>
      <w:numFmt w:val="lowerLetter"/>
      <w:lvlText w:val="%5."/>
      <w:lvlJc w:val="left"/>
      <w:pPr>
        <w:ind w:left="3600" w:hanging="360"/>
      </w:pPr>
    </w:lvl>
    <w:lvl w:ilvl="5" w:tplc="60F4FF8A" w:tentative="1">
      <w:start w:val="1"/>
      <w:numFmt w:val="lowerRoman"/>
      <w:lvlText w:val="%6."/>
      <w:lvlJc w:val="right"/>
      <w:pPr>
        <w:ind w:left="4320" w:hanging="180"/>
      </w:pPr>
    </w:lvl>
    <w:lvl w:ilvl="6" w:tplc="E4CE5020" w:tentative="1">
      <w:start w:val="1"/>
      <w:numFmt w:val="decimal"/>
      <w:lvlText w:val="%7."/>
      <w:lvlJc w:val="left"/>
      <w:pPr>
        <w:ind w:left="5040" w:hanging="360"/>
      </w:pPr>
    </w:lvl>
    <w:lvl w:ilvl="7" w:tplc="6B947466" w:tentative="1">
      <w:start w:val="1"/>
      <w:numFmt w:val="lowerLetter"/>
      <w:lvlText w:val="%8."/>
      <w:lvlJc w:val="left"/>
      <w:pPr>
        <w:ind w:left="5760" w:hanging="360"/>
      </w:pPr>
    </w:lvl>
    <w:lvl w:ilvl="8" w:tplc="08EA6016" w:tentative="1">
      <w:start w:val="1"/>
      <w:numFmt w:val="lowerRoman"/>
      <w:lvlText w:val="%9."/>
      <w:lvlJc w:val="right"/>
      <w:pPr>
        <w:ind w:left="6480" w:hanging="180"/>
      </w:pPr>
    </w:lvl>
  </w:abstractNum>
  <w:abstractNum w:abstractNumId="10" w15:restartNumberingAfterBreak="0">
    <w:nsid w:val="6B851638"/>
    <w:multiLevelType w:val="hybridMultilevel"/>
    <w:tmpl w:val="FA1223A8"/>
    <w:lvl w:ilvl="0" w:tplc="A958070E">
      <w:start w:val="1"/>
      <w:numFmt w:val="bullet"/>
      <w:lvlText w:val=""/>
      <w:lvlJc w:val="left"/>
      <w:pPr>
        <w:ind w:left="720" w:hanging="360"/>
      </w:pPr>
      <w:rPr>
        <w:rFonts w:ascii="Symbol" w:hAnsi="Symbol" w:hint="default"/>
      </w:rPr>
    </w:lvl>
    <w:lvl w:ilvl="1" w:tplc="04B87D4E" w:tentative="1">
      <w:start w:val="1"/>
      <w:numFmt w:val="bullet"/>
      <w:lvlText w:val="o"/>
      <w:lvlJc w:val="left"/>
      <w:pPr>
        <w:ind w:left="1440" w:hanging="360"/>
      </w:pPr>
      <w:rPr>
        <w:rFonts w:ascii="Courier New" w:hAnsi="Courier New" w:cs="Courier New" w:hint="default"/>
      </w:rPr>
    </w:lvl>
    <w:lvl w:ilvl="2" w:tplc="B6BAB362" w:tentative="1">
      <w:start w:val="1"/>
      <w:numFmt w:val="bullet"/>
      <w:lvlText w:val=""/>
      <w:lvlJc w:val="left"/>
      <w:pPr>
        <w:ind w:left="2160" w:hanging="360"/>
      </w:pPr>
      <w:rPr>
        <w:rFonts w:ascii="Wingdings" w:hAnsi="Wingdings" w:hint="default"/>
      </w:rPr>
    </w:lvl>
    <w:lvl w:ilvl="3" w:tplc="6EC88BA6" w:tentative="1">
      <w:start w:val="1"/>
      <w:numFmt w:val="bullet"/>
      <w:lvlText w:val=""/>
      <w:lvlJc w:val="left"/>
      <w:pPr>
        <w:ind w:left="2880" w:hanging="360"/>
      </w:pPr>
      <w:rPr>
        <w:rFonts w:ascii="Symbol" w:hAnsi="Symbol" w:hint="default"/>
      </w:rPr>
    </w:lvl>
    <w:lvl w:ilvl="4" w:tplc="C3869252" w:tentative="1">
      <w:start w:val="1"/>
      <w:numFmt w:val="bullet"/>
      <w:lvlText w:val="o"/>
      <w:lvlJc w:val="left"/>
      <w:pPr>
        <w:ind w:left="3600" w:hanging="360"/>
      </w:pPr>
      <w:rPr>
        <w:rFonts w:ascii="Courier New" w:hAnsi="Courier New" w:cs="Courier New" w:hint="default"/>
      </w:rPr>
    </w:lvl>
    <w:lvl w:ilvl="5" w:tplc="F5BCC150" w:tentative="1">
      <w:start w:val="1"/>
      <w:numFmt w:val="bullet"/>
      <w:lvlText w:val=""/>
      <w:lvlJc w:val="left"/>
      <w:pPr>
        <w:ind w:left="4320" w:hanging="360"/>
      </w:pPr>
      <w:rPr>
        <w:rFonts w:ascii="Wingdings" w:hAnsi="Wingdings" w:hint="default"/>
      </w:rPr>
    </w:lvl>
    <w:lvl w:ilvl="6" w:tplc="C22490A4" w:tentative="1">
      <w:start w:val="1"/>
      <w:numFmt w:val="bullet"/>
      <w:lvlText w:val=""/>
      <w:lvlJc w:val="left"/>
      <w:pPr>
        <w:ind w:left="5040" w:hanging="360"/>
      </w:pPr>
      <w:rPr>
        <w:rFonts w:ascii="Symbol" w:hAnsi="Symbol" w:hint="default"/>
      </w:rPr>
    </w:lvl>
    <w:lvl w:ilvl="7" w:tplc="8FCE4F04" w:tentative="1">
      <w:start w:val="1"/>
      <w:numFmt w:val="bullet"/>
      <w:lvlText w:val="o"/>
      <w:lvlJc w:val="left"/>
      <w:pPr>
        <w:ind w:left="5760" w:hanging="360"/>
      </w:pPr>
      <w:rPr>
        <w:rFonts w:ascii="Courier New" w:hAnsi="Courier New" w:cs="Courier New" w:hint="default"/>
      </w:rPr>
    </w:lvl>
    <w:lvl w:ilvl="8" w:tplc="CC8E0A4A" w:tentative="1">
      <w:start w:val="1"/>
      <w:numFmt w:val="bullet"/>
      <w:lvlText w:val=""/>
      <w:lvlJc w:val="left"/>
      <w:pPr>
        <w:ind w:left="6480" w:hanging="360"/>
      </w:pPr>
      <w:rPr>
        <w:rFonts w:ascii="Wingdings" w:hAnsi="Wingdings" w:hint="default"/>
      </w:rPr>
    </w:lvl>
  </w:abstractNum>
  <w:abstractNum w:abstractNumId="11" w15:restartNumberingAfterBreak="0">
    <w:nsid w:val="6E8C3A73"/>
    <w:multiLevelType w:val="hybridMultilevel"/>
    <w:tmpl w:val="B07ADCE2"/>
    <w:lvl w:ilvl="0" w:tplc="ABFA43F2">
      <w:start w:val="1"/>
      <w:numFmt w:val="lowerRoman"/>
      <w:lvlText w:val="(%1)"/>
      <w:lvlJc w:val="left"/>
      <w:pPr>
        <w:ind w:left="1080" w:hanging="720"/>
      </w:pPr>
      <w:rPr>
        <w:rFonts w:hint="default"/>
      </w:rPr>
    </w:lvl>
    <w:lvl w:ilvl="1" w:tplc="15CA2DB8" w:tentative="1">
      <w:start w:val="1"/>
      <w:numFmt w:val="lowerLetter"/>
      <w:lvlText w:val="%2."/>
      <w:lvlJc w:val="left"/>
      <w:pPr>
        <w:ind w:left="1440" w:hanging="360"/>
      </w:pPr>
    </w:lvl>
    <w:lvl w:ilvl="2" w:tplc="719A88EE" w:tentative="1">
      <w:start w:val="1"/>
      <w:numFmt w:val="lowerRoman"/>
      <w:lvlText w:val="%3."/>
      <w:lvlJc w:val="right"/>
      <w:pPr>
        <w:ind w:left="2160" w:hanging="180"/>
      </w:pPr>
    </w:lvl>
    <w:lvl w:ilvl="3" w:tplc="818425F8" w:tentative="1">
      <w:start w:val="1"/>
      <w:numFmt w:val="decimal"/>
      <w:lvlText w:val="%4."/>
      <w:lvlJc w:val="left"/>
      <w:pPr>
        <w:ind w:left="2880" w:hanging="360"/>
      </w:pPr>
    </w:lvl>
    <w:lvl w:ilvl="4" w:tplc="04BAC3EE" w:tentative="1">
      <w:start w:val="1"/>
      <w:numFmt w:val="lowerLetter"/>
      <w:lvlText w:val="%5."/>
      <w:lvlJc w:val="left"/>
      <w:pPr>
        <w:ind w:left="3600" w:hanging="360"/>
      </w:pPr>
    </w:lvl>
    <w:lvl w:ilvl="5" w:tplc="3528A8AE" w:tentative="1">
      <w:start w:val="1"/>
      <w:numFmt w:val="lowerRoman"/>
      <w:lvlText w:val="%6."/>
      <w:lvlJc w:val="right"/>
      <w:pPr>
        <w:ind w:left="4320" w:hanging="180"/>
      </w:pPr>
    </w:lvl>
    <w:lvl w:ilvl="6" w:tplc="ADA63316" w:tentative="1">
      <w:start w:val="1"/>
      <w:numFmt w:val="decimal"/>
      <w:lvlText w:val="%7."/>
      <w:lvlJc w:val="left"/>
      <w:pPr>
        <w:ind w:left="5040" w:hanging="360"/>
      </w:pPr>
    </w:lvl>
    <w:lvl w:ilvl="7" w:tplc="635C45E8" w:tentative="1">
      <w:start w:val="1"/>
      <w:numFmt w:val="lowerLetter"/>
      <w:lvlText w:val="%8."/>
      <w:lvlJc w:val="left"/>
      <w:pPr>
        <w:ind w:left="5760" w:hanging="360"/>
      </w:pPr>
    </w:lvl>
    <w:lvl w:ilvl="8" w:tplc="5C1AAABA" w:tentative="1">
      <w:start w:val="1"/>
      <w:numFmt w:val="lowerRoman"/>
      <w:lvlText w:val="%9."/>
      <w:lvlJc w:val="right"/>
      <w:pPr>
        <w:ind w:left="6480" w:hanging="180"/>
      </w:pPr>
    </w:lvl>
  </w:abstractNum>
  <w:abstractNum w:abstractNumId="12" w15:restartNumberingAfterBreak="0">
    <w:nsid w:val="77B5386B"/>
    <w:multiLevelType w:val="hybridMultilevel"/>
    <w:tmpl w:val="25D4A9E4"/>
    <w:lvl w:ilvl="0" w:tplc="5A98DC6C">
      <w:start w:val="1"/>
      <w:numFmt w:val="bullet"/>
      <w:lvlText w:val=""/>
      <w:lvlJc w:val="left"/>
      <w:pPr>
        <w:ind w:left="720" w:hanging="360"/>
      </w:pPr>
      <w:rPr>
        <w:rFonts w:ascii="Symbol" w:hAnsi="Symbol" w:hint="default"/>
      </w:rPr>
    </w:lvl>
    <w:lvl w:ilvl="1" w:tplc="B88ED1F4" w:tentative="1">
      <w:start w:val="1"/>
      <w:numFmt w:val="bullet"/>
      <w:lvlText w:val="o"/>
      <w:lvlJc w:val="left"/>
      <w:pPr>
        <w:ind w:left="1440" w:hanging="360"/>
      </w:pPr>
      <w:rPr>
        <w:rFonts w:ascii="Courier New" w:hAnsi="Courier New" w:cs="Courier New" w:hint="default"/>
      </w:rPr>
    </w:lvl>
    <w:lvl w:ilvl="2" w:tplc="07963F10" w:tentative="1">
      <w:start w:val="1"/>
      <w:numFmt w:val="bullet"/>
      <w:lvlText w:val=""/>
      <w:lvlJc w:val="left"/>
      <w:pPr>
        <w:ind w:left="2160" w:hanging="360"/>
      </w:pPr>
      <w:rPr>
        <w:rFonts w:ascii="Wingdings" w:hAnsi="Wingdings" w:hint="default"/>
      </w:rPr>
    </w:lvl>
    <w:lvl w:ilvl="3" w:tplc="BA981014" w:tentative="1">
      <w:start w:val="1"/>
      <w:numFmt w:val="bullet"/>
      <w:lvlText w:val=""/>
      <w:lvlJc w:val="left"/>
      <w:pPr>
        <w:ind w:left="2880" w:hanging="360"/>
      </w:pPr>
      <w:rPr>
        <w:rFonts w:ascii="Symbol" w:hAnsi="Symbol" w:hint="default"/>
      </w:rPr>
    </w:lvl>
    <w:lvl w:ilvl="4" w:tplc="15B89936" w:tentative="1">
      <w:start w:val="1"/>
      <w:numFmt w:val="bullet"/>
      <w:lvlText w:val="o"/>
      <w:lvlJc w:val="left"/>
      <w:pPr>
        <w:ind w:left="3600" w:hanging="360"/>
      </w:pPr>
      <w:rPr>
        <w:rFonts w:ascii="Courier New" w:hAnsi="Courier New" w:cs="Courier New" w:hint="default"/>
      </w:rPr>
    </w:lvl>
    <w:lvl w:ilvl="5" w:tplc="3C32ACA0" w:tentative="1">
      <w:start w:val="1"/>
      <w:numFmt w:val="bullet"/>
      <w:lvlText w:val=""/>
      <w:lvlJc w:val="left"/>
      <w:pPr>
        <w:ind w:left="4320" w:hanging="360"/>
      </w:pPr>
      <w:rPr>
        <w:rFonts w:ascii="Wingdings" w:hAnsi="Wingdings" w:hint="default"/>
      </w:rPr>
    </w:lvl>
    <w:lvl w:ilvl="6" w:tplc="2C005B4E" w:tentative="1">
      <w:start w:val="1"/>
      <w:numFmt w:val="bullet"/>
      <w:lvlText w:val=""/>
      <w:lvlJc w:val="left"/>
      <w:pPr>
        <w:ind w:left="5040" w:hanging="360"/>
      </w:pPr>
      <w:rPr>
        <w:rFonts w:ascii="Symbol" w:hAnsi="Symbol" w:hint="default"/>
      </w:rPr>
    </w:lvl>
    <w:lvl w:ilvl="7" w:tplc="27E2586C" w:tentative="1">
      <w:start w:val="1"/>
      <w:numFmt w:val="bullet"/>
      <w:lvlText w:val="o"/>
      <w:lvlJc w:val="left"/>
      <w:pPr>
        <w:ind w:left="5760" w:hanging="360"/>
      </w:pPr>
      <w:rPr>
        <w:rFonts w:ascii="Courier New" w:hAnsi="Courier New" w:cs="Courier New" w:hint="default"/>
      </w:rPr>
    </w:lvl>
    <w:lvl w:ilvl="8" w:tplc="90A23BE2"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4"/>
  </w:num>
  <w:num w:numId="5">
    <w:abstractNumId w:val="8"/>
  </w:num>
  <w:num w:numId="6">
    <w:abstractNumId w:val="5"/>
  </w:num>
  <w:num w:numId="7">
    <w:abstractNumId w:val="1"/>
  </w:num>
  <w:num w:numId="8">
    <w:abstractNumId w:val="2"/>
  </w:num>
  <w:num w:numId="9">
    <w:abstractNumId w:val="7"/>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34"/>
    <w:rsid w:val="0005601C"/>
    <w:rsid w:val="000772C9"/>
    <w:rsid w:val="00084BE6"/>
    <w:rsid w:val="000B7CE8"/>
    <w:rsid w:val="000C0AA5"/>
    <w:rsid w:val="000D2204"/>
    <w:rsid w:val="001F0FEF"/>
    <w:rsid w:val="0023553B"/>
    <w:rsid w:val="0025509A"/>
    <w:rsid w:val="003048F8"/>
    <w:rsid w:val="003436F7"/>
    <w:rsid w:val="003674AA"/>
    <w:rsid w:val="003A2DA8"/>
    <w:rsid w:val="003B0F69"/>
    <w:rsid w:val="004D7834"/>
    <w:rsid w:val="004E2FFD"/>
    <w:rsid w:val="00515819"/>
    <w:rsid w:val="005313FA"/>
    <w:rsid w:val="0056756D"/>
    <w:rsid w:val="005951DC"/>
    <w:rsid w:val="005C55A9"/>
    <w:rsid w:val="005F1733"/>
    <w:rsid w:val="00681FF7"/>
    <w:rsid w:val="006E5A2D"/>
    <w:rsid w:val="00751200"/>
    <w:rsid w:val="007926E3"/>
    <w:rsid w:val="008258D2"/>
    <w:rsid w:val="008467F7"/>
    <w:rsid w:val="00871993"/>
    <w:rsid w:val="009035D6"/>
    <w:rsid w:val="00956080"/>
    <w:rsid w:val="009604E7"/>
    <w:rsid w:val="00990B3F"/>
    <w:rsid w:val="009E5826"/>
    <w:rsid w:val="00AA3696"/>
    <w:rsid w:val="00AB7E47"/>
    <w:rsid w:val="00AF589D"/>
    <w:rsid w:val="00AF7692"/>
    <w:rsid w:val="00B14482"/>
    <w:rsid w:val="00C67163"/>
    <w:rsid w:val="00D07DC0"/>
    <w:rsid w:val="00E30E89"/>
    <w:rsid w:val="00E326DB"/>
    <w:rsid w:val="00EA6954"/>
    <w:rsid w:val="00ED7533"/>
    <w:rsid w:val="00EE2722"/>
    <w:rsid w:val="00F17291"/>
    <w:rsid w:val="00F239C4"/>
    <w:rsid w:val="00F9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3681"/>
  <w15:docId w15:val="{50145CB0-AA68-4173-B9F4-F6E60B2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AParai">
    <w:name w:val="ESA Para (i)"/>
    <w:basedOn w:val="Normal"/>
    <w:next w:val="Normal"/>
    <w:qFormat/>
    <w:rsid w:val="00235FE8"/>
    <w:pPr>
      <w:spacing w:after="240" w:line="240" w:lineRule="auto"/>
      <w:ind w:firstLine="2160"/>
    </w:pPr>
    <w:rPr>
      <w:rFonts w:ascii="Times New Roman" w:eastAsia="Calibri" w:hAnsi="Times New Roman" w:cs="Times New Roman"/>
    </w:rPr>
  </w:style>
  <w:style w:type="paragraph" w:styleId="Header">
    <w:name w:val="header"/>
    <w:basedOn w:val="Normal"/>
    <w:link w:val="HeaderChar"/>
    <w:uiPriority w:val="99"/>
    <w:unhideWhenUsed/>
    <w:rsid w:val="00C8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BF"/>
  </w:style>
  <w:style w:type="paragraph" w:styleId="Footer">
    <w:name w:val="footer"/>
    <w:basedOn w:val="Normal"/>
    <w:link w:val="FooterChar"/>
    <w:uiPriority w:val="99"/>
    <w:unhideWhenUsed/>
    <w:rsid w:val="00C8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BF"/>
  </w:style>
  <w:style w:type="paragraph" w:styleId="BalloonText">
    <w:name w:val="Balloon Text"/>
    <w:basedOn w:val="Normal"/>
    <w:link w:val="BalloonTextChar"/>
    <w:uiPriority w:val="99"/>
    <w:semiHidden/>
    <w:unhideWhenUsed/>
    <w:rsid w:val="00C8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7BF"/>
    <w:rPr>
      <w:rFonts w:ascii="Tahoma" w:hAnsi="Tahoma" w:cs="Tahoma"/>
      <w:sz w:val="16"/>
      <w:szCs w:val="16"/>
    </w:rPr>
  </w:style>
  <w:style w:type="paragraph" w:styleId="ListParagraph">
    <w:name w:val="List Paragraph"/>
    <w:basedOn w:val="Normal"/>
    <w:uiPriority w:val="34"/>
    <w:qFormat/>
    <w:rsid w:val="002C745D"/>
    <w:pPr>
      <w:ind w:left="720"/>
      <w:contextualSpacing/>
    </w:pPr>
  </w:style>
  <w:style w:type="character" w:styleId="CommentReference">
    <w:name w:val="annotation reference"/>
    <w:basedOn w:val="DefaultParagraphFont"/>
    <w:uiPriority w:val="99"/>
    <w:semiHidden/>
    <w:unhideWhenUsed/>
    <w:rsid w:val="00CC345D"/>
    <w:rPr>
      <w:sz w:val="16"/>
      <w:szCs w:val="16"/>
    </w:rPr>
  </w:style>
  <w:style w:type="paragraph" w:styleId="CommentText">
    <w:name w:val="annotation text"/>
    <w:basedOn w:val="Normal"/>
    <w:link w:val="CommentTextChar"/>
    <w:uiPriority w:val="99"/>
    <w:semiHidden/>
    <w:unhideWhenUsed/>
    <w:rsid w:val="00CC345D"/>
    <w:pPr>
      <w:spacing w:line="240" w:lineRule="auto"/>
    </w:pPr>
    <w:rPr>
      <w:sz w:val="20"/>
      <w:szCs w:val="20"/>
    </w:rPr>
  </w:style>
  <w:style w:type="character" w:customStyle="1" w:styleId="CommentTextChar">
    <w:name w:val="Comment Text Char"/>
    <w:basedOn w:val="DefaultParagraphFont"/>
    <w:link w:val="CommentText"/>
    <w:uiPriority w:val="99"/>
    <w:semiHidden/>
    <w:rsid w:val="00CC345D"/>
    <w:rPr>
      <w:sz w:val="20"/>
      <w:szCs w:val="20"/>
    </w:rPr>
  </w:style>
  <w:style w:type="paragraph" w:styleId="CommentSubject">
    <w:name w:val="annotation subject"/>
    <w:basedOn w:val="CommentText"/>
    <w:next w:val="CommentText"/>
    <w:link w:val="CommentSubjectChar"/>
    <w:uiPriority w:val="99"/>
    <w:semiHidden/>
    <w:unhideWhenUsed/>
    <w:rsid w:val="00CC345D"/>
    <w:rPr>
      <w:b/>
      <w:bCs/>
    </w:rPr>
  </w:style>
  <w:style w:type="character" w:customStyle="1" w:styleId="CommentSubjectChar">
    <w:name w:val="Comment Subject Char"/>
    <w:basedOn w:val="CommentTextChar"/>
    <w:link w:val="CommentSubject"/>
    <w:uiPriority w:val="99"/>
    <w:semiHidden/>
    <w:rsid w:val="00CC345D"/>
    <w:rPr>
      <w:b/>
      <w:bCs/>
      <w:sz w:val="20"/>
      <w:szCs w:val="20"/>
    </w:rPr>
  </w:style>
  <w:style w:type="paragraph" w:styleId="Revision">
    <w:name w:val="Revision"/>
    <w:hidden/>
    <w:uiPriority w:val="99"/>
    <w:semiHidden/>
    <w:rsid w:val="00EB6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52248">
      <w:bodyDiv w:val="1"/>
      <w:marLeft w:val="0"/>
      <w:marRight w:val="0"/>
      <w:marTop w:val="0"/>
      <w:marBottom w:val="0"/>
      <w:divBdr>
        <w:top w:val="none" w:sz="0" w:space="0" w:color="auto"/>
        <w:left w:val="none" w:sz="0" w:space="0" w:color="auto"/>
        <w:bottom w:val="none" w:sz="0" w:space="0" w:color="auto"/>
        <w:right w:val="none" w:sz="0" w:space="0" w:color="auto"/>
      </w:divBdr>
    </w:div>
    <w:div w:id="1545436255">
      <w:bodyDiv w:val="1"/>
      <w:marLeft w:val="0"/>
      <w:marRight w:val="0"/>
      <w:marTop w:val="0"/>
      <w:marBottom w:val="0"/>
      <w:divBdr>
        <w:top w:val="none" w:sz="0" w:space="0" w:color="auto"/>
        <w:left w:val="none" w:sz="0" w:space="0" w:color="auto"/>
        <w:bottom w:val="none" w:sz="0" w:space="0" w:color="auto"/>
        <w:right w:val="none" w:sz="0" w:space="0" w:color="auto"/>
      </w:divBdr>
    </w:div>
    <w:div w:id="15607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19287088A8C40B22618ABA75CCA9C" ma:contentTypeVersion="0" ma:contentTypeDescription="Create a new document." ma:contentTypeScope="" ma:versionID="533d34e9c6ddb75757925540addf8c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33E7-B5D9-4204-A456-A61084A841D9}">
  <ds:schemaRefs>
    <ds:schemaRef ds:uri="http://schemas.microsoft.com/sharepoint/v3/contenttype/forms"/>
  </ds:schemaRefs>
</ds:datastoreItem>
</file>

<file path=customXml/itemProps2.xml><?xml version="1.0" encoding="utf-8"?>
<ds:datastoreItem xmlns:ds="http://schemas.openxmlformats.org/officeDocument/2006/customXml" ds:itemID="{15B0378A-3973-4A0C-BE69-970FC3F3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1280AC-2F4A-4020-B515-C39C71980C5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3C63E7-22E6-42C3-AF28-1057E5C3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17564</Characters>
  <Application>Microsoft Office Word</Application>
  <DocSecurity>0</DocSecurity>
  <Lines>344</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ebce4</dc:creator>
  <cp:lastModifiedBy>Lee, Denise M (EPP)</cp:lastModifiedBy>
  <cp:revision>3</cp:revision>
  <cp:lastPrinted>2018-02-26T18:48:00Z</cp:lastPrinted>
  <dcterms:created xsi:type="dcterms:W3CDTF">2018-04-11T00:27:00Z</dcterms:created>
  <dcterms:modified xsi:type="dcterms:W3CDTF">2018-04-13T01:11:00Z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0x010100B2219287088A8C40B22618ABA75CCA9C</vt:lpwstr>
  </property>
</Properties>
</file>